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04" w:type="dxa"/>
        <w:tblLayout w:type="fixed"/>
        <w:tblLook w:val="0000" w:firstRow="0" w:lastRow="0" w:firstColumn="0" w:lastColumn="0" w:noHBand="0" w:noVBand="0"/>
      </w:tblPr>
      <w:tblGrid>
        <w:gridCol w:w="1957"/>
        <w:gridCol w:w="7069"/>
        <w:gridCol w:w="2178"/>
      </w:tblGrid>
      <w:tr w:rsidR="00F61841" w14:paraId="3845C99E" w14:textId="77777777" w:rsidTr="00F708C2">
        <w:tc>
          <w:tcPr>
            <w:tcW w:w="1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129E245" w14:textId="77777777" w:rsidR="00F61841" w:rsidRDefault="00002C7A">
            <w:pPr>
              <w:rPr>
                <w:i/>
                <w:sz w:val="19"/>
              </w:rPr>
            </w:pPr>
            <w:r w:rsidRPr="00E43168">
              <w:rPr>
                <w:b/>
                <w:i/>
                <w:sz w:val="19"/>
              </w:rPr>
              <w:object w:dxaOrig="1335" w:dyaOrig="2107" w14:anchorId="0F3B8A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132pt" o:ole="">
                  <v:imagedata r:id="rId5" o:title=""/>
                </v:shape>
                <o:OLEObject Type="Embed" ProgID="Word.Picture.8" ShapeID="_x0000_i1025" DrawAspect="Content" ObjectID="_1608716339" r:id="rId6"/>
              </w:object>
            </w:r>
          </w:p>
          <w:p w14:paraId="71571307" w14:textId="77777777" w:rsidR="0065350D" w:rsidRDefault="0065350D">
            <w:pPr>
              <w:ind w:right="162"/>
              <w:rPr>
                <w:b/>
                <w:i/>
                <w:sz w:val="19"/>
              </w:rPr>
            </w:pPr>
          </w:p>
          <w:p w14:paraId="3EDA1C3A" w14:textId="31BB1666" w:rsidR="00F61841" w:rsidRDefault="00F61841">
            <w:pPr>
              <w:ind w:right="162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 xml:space="preserve">Nevada Commission on Aging </w:t>
            </w:r>
          </w:p>
          <w:p w14:paraId="5079A886" w14:textId="77777777" w:rsidR="00F61841" w:rsidRDefault="00F61841">
            <w:pPr>
              <w:ind w:right="162"/>
              <w:rPr>
                <w:b/>
                <w:i/>
                <w:sz w:val="19"/>
              </w:rPr>
            </w:pPr>
          </w:p>
          <w:p w14:paraId="6642FE9C" w14:textId="77777777" w:rsidR="002E7268" w:rsidRDefault="00F61841">
            <w:pPr>
              <w:ind w:right="162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Voting Members</w:t>
            </w:r>
            <w:r w:rsidR="00781D9D">
              <w:rPr>
                <w:b/>
                <w:i/>
                <w:sz w:val="19"/>
              </w:rPr>
              <w:t>:</w:t>
            </w:r>
          </w:p>
          <w:p w14:paraId="332E9006" w14:textId="77777777" w:rsidR="007632B1" w:rsidRDefault="007632B1" w:rsidP="00036692">
            <w:pPr>
              <w:rPr>
                <w:rFonts w:cs="Arial"/>
                <w:i/>
                <w:sz w:val="19"/>
                <w:szCs w:val="19"/>
              </w:rPr>
            </w:pPr>
          </w:p>
          <w:p w14:paraId="1C57F87E" w14:textId="1039305C" w:rsidR="007632B1" w:rsidRDefault="00904DA0" w:rsidP="00036692">
            <w:pPr>
              <w:rPr>
                <w:rFonts w:cs="Arial"/>
                <w:i/>
                <w:sz w:val="19"/>
                <w:szCs w:val="19"/>
              </w:rPr>
            </w:pPr>
            <w:r>
              <w:rPr>
                <w:rFonts w:cs="Arial"/>
                <w:i/>
                <w:sz w:val="19"/>
                <w:szCs w:val="19"/>
              </w:rPr>
              <w:t>Chris Giunchigliani</w:t>
            </w:r>
            <w:r w:rsidR="007632B1">
              <w:rPr>
                <w:rFonts w:cs="Arial"/>
                <w:i/>
                <w:sz w:val="19"/>
                <w:szCs w:val="19"/>
              </w:rPr>
              <w:t>,</w:t>
            </w:r>
          </w:p>
          <w:p w14:paraId="6529F021" w14:textId="63C9815C" w:rsidR="007632B1" w:rsidRDefault="00437AA5" w:rsidP="00036692">
            <w:pPr>
              <w:rPr>
                <w:rFonts w:cs="Arial"/>
                <w:i/>
                <w:sz w:val="19"/>
                <w:szCs w:val="19"/>
              </w:rPr>
            </w:pPr>
            <w:r>
              <w:rPr>
                <w:rFonts w:cs="Arial"/>
                <w:i/>
                <w:sz w:val="19"/>
                <w:szCs w:val="19"/>
              </w:rPr>
              <w:t>Commissioner Clark County</w:t>
            </w:r>
          </w:p>
          <w:p w14:paraId="14EE141B" w14:textId="77777777" w:rsidR="007632B1" w:rsidRDefault="007632B1" w:rsidP="00036692">
            <w:pPr>
              <w:rPr>
                <w:rFonts w:cs="Arial"/>
                <w:i/>
                <w:sz w:val="19"/>
                <w:szCs w:val="19"/>
              </w:rPr>
            </w:pPr>
          </w:p>
          <w:p w14:paraId="0FE4CEE8" w14:textId="44486068" w:rsidR="00036692" w:rsidRDefault="00904DA0" w:rsidP="00036692">
            <w:pPr>
              <w:rPr>
                <w:rFonts w:cs="Arial"/>
                <w:i/>
                <w:sz w:val="19"/>
                <w:szCs w:val="19"/>
              </w:rPr>
            </w:pPr>
            <w:r>
              <w:rPr>
                <w:rFonts w:cs="Arial"/>
                <w:i/>
                <w:sz w:val="19"/>
                <w:szCs w:val="19"/>
              </w:rPr>
              <w:t>Daniel Corona</w:t>
            </w:r>
            <w:r w:rsidR="00036692">
              <w:rPr>
                <w:rFonts w:cs="Arial"/>
                <w:i/>
                <w:sz w:val="19"/>
                <w:szCs w:val="19"/>
              </w:rPr>
              <w:t>,</w:t>
            </w:r>
          </w:p>
          <w:p w14:paraId="1F01C655" w14:textId="7B58C30D" w:rsidR="00036692" w:rsidRDefault="009D65AE" w:rsidP="007632B1">
            <w:pPr>
              <w:rPr>
                <w:rFonts w:cs="Arial"/>
                <w:i/>
                <w:sz w:val="19"/>
                <w:szCs w:val="19"/>
              </w:rPr>
            </w:pPr>
            <w:r>
              <w:rPr>
                <w:rFonts w:cs="Arial"/>
                <w:i/>
                <w:sz w:val="19"/>
                <w:szCs w:val="19"/>
              </w:rPr>
              <w:t>Mayor West Wendover</w:t>
            </w:r>
          </w:p>
          <w:p w14:paraId="222275F6" w14:textId="77777777" w:rsidR="00B101A3" w:rsidRDefault="00B101A3" w:rsidP="00036692">
            <w:pPr>
              <w:ind w:right="162"/>
              <w:rPr>
                <w:rFonts w:cs="Arial"/>
                <w:i/>
                <w:sz w:val="19"/>
                <w:szCs w:val="19"/>
              </w:rPr>
            </w:pPr>
          </w:p>
          <w:p w14:paraId="1F1411FF" w14:textId="24CD231E" w:rsidR="00B101A3" w:rsidRDefault="003E1DDC" w:rsidP="00B101A3">
            <w:pPr>
              <w:ind w:right="162"/>
              <w:rPr>
                <w:i/>
                <w:sz w:val="19"/>
              </w:rPr>
            </w:pPr>
            <w:r>
              <w:rPr>
                <w:i/>
                <w:sz w:val="19"/>
              </w:rPr>
              <w:t>Stacy Gilbert</w:t>
            </w:r>
            <w:r w:rsidR="007632B1">
              <w:rPr>
                <w:i/>
                <w:sz w:val="19"/>
              </w:rPr>
              <w:t>,</w:t>
            </w:r>
          </w:p>
          <w:p w14:paraId="7277DB3F" w14:textId="4FA6AF94" w:rsidR="00B101A3" w:rsidRDefault="00B101A3" w:rsidP="00B101A3">
            <w:pPr>
              <w:ind w:right="162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Member </w:t>
            </w:r>
            <w:r w:rsidR="003E1DDC">
              <w:rPr>
                <w:i/>
                <w:sz w:val="19"/>
              </w:rPr>
              <w:t>of Governing County</w:t>
            </w:r>
          </w:p>
          <w:p w14:paraId="7B22F539" w14:textId="77777777" w:rsidR="007632B1" w:rsidRDefault="007632B1" w:rsidP="00B101A3">
            <w:pPr>
              <w:ind w:right="162"/>
              <w:rPr>
                <w:i/>
                <w:sz w:val="19"/>
              </w:rPr>
            </w:pPr>
          </w:p>
          <w:p w14:paraId="061807CF" w14:textId="633C01AE" w:rsidR="00036692" w:rsidRPr="00AF0165" w:rsidRDefault="003E1DDC" w:rsidP="00036692">
            <w:pPr>
              <w:ind w:right="162"/>
              <w:rPr>
                <w:i/>
                <w:sz w:val="19"/>
              </w:rPr>
            </w:pPr>
            <w:r>
              <w:rPr>
                <w:i/>
                <w:sz w:val="19"/>
              </w:rPr>
              <w:t>Barry Gold</w:t>
            </w:r>
            <w:r w:rsidR="00036692">
              <w:rPr>
                <w:i/>
                <w:sz w:val="19"/>
              </w:rPr>
              <w:t>,</w:t>
            </w:r>
          </w:p>
          <w:p w14:paraId="62F04147" w14:textId="77777777" w:rsidR="00036692" w:rsidRDefault="00036692" w:rsidP="00036692">
            <w:pPr>
              <w:ind w:right="162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Member at Large </w:t>
            </w:r>
          </w:p>
          <w:p w14:paraId="360519A9" w14:textId="77777777" w:rsidR="00B101A3" w:rsidRDefault="00B101A3" w:rsidP="00036692">
            <w:pPr>
              <w:ind w:right="162"/>
              <w:rPr>
                <w:i/>
                <w:sz w:val="19"/>
              </w:rPr>
            </w:pPr>
          </w:p>
          <w:p w14:paraId="15CCA5A3" w14:textId="56643CBB" w:rsidR="003E1DDC" w:rsidRDefault="003E1DDC" w:rsidP="00B101A3">
            <w:pPr>
              <w:ind w:right="162"/>
              <w:rPr>
                <w:i/>
                <w:sz w:val="19"/>
              </w:rPr>
            </w:pPr>
            <w:r>
              <w:rPr>
                <w:i/>
                <w:sz w:val="19"/>
              </w:rPr>
              <w:t>Leilani Kimmell Dagostino, Member at Large</w:t>
            </w:r>
          </w:p>
          <w:p w14:paraId="4AF93B49" w14:textId="77777777" w:rsidR="003E1DDC" w:rsidRDefault="003E1DDC" w:rsidP="00B101A3">
            <w:pPr>
              <w:ind w:right="162"/>
              <w:rPr>
                <w:i/>
                <w:sz w:val="19"/>
              </w:rPr>
            </w:pPr>
          </w:p>
          <w:p w14:paraId="2E920F12" w14:textId="66FB1FA0" w:rsidR="00B101A3" w:rsidRDefault="003E1DDC" w:rsidP="00B101A3">
            <w:pPr>
              <w:ind w:right="162"/>
              <w:rPr>
                <w:i/>
                <w:sz w:val="19"/>
              </w:rPr>
            </w:pPr>
            <w:r>
              <w:rPr>
                <w:i/>
                <w:sz w:val="19"/>
              </w:rPr>
              <w:t>Jeffrey Klein</w:t>
            </w:r>
            <w:r w:rsidR="00B101A3">
              <w:rPr>
                <w:i/>
                <w:sz w:val="19"/>
              </w:rPr>
              <w:t>,</w:t>
            </w:r>
          </w:p>
          <w:p w14:paraId="3458E9F3" w14:textId="77777777" w:rsidR="00B101A3" w:rsidRDefault="00B101A3" w:rsidP="00B101A3">
            <w:pPr>
              <w:ind w:right="162"/>
              <w:rPr>
                <w:i/>
                <w:sz w:val="19"/>
              </w:rPr>
            </w:pPr>
            <w:r>
              <w:rPr>
                <w:i/>
                <w:sz w:val="19"/>
              </w:rPr>
              <w:t>Member at Large</w:t>
            </w:r>
          </w:p>
          <w:p w14:paraId="5213E2E6" w14:textId="77777777" w:rsidR="00E32832" w:rsidRDefault="00E32832">
            <w:pPr>
              <w:ind w:right="162"/>
              <w:rPr>
                <w:i/>
                <w:sz w:val="19"/>
              </w:rPr>
            </w:pPr>
          </w:p>
          <w:p w14:paraId="5FF4604D" w14:textId="5F11E540" w:rsidR="00036692" w:rsidRDefault="003E1DDC" w:rsidP="00036692">
            <w:pPr>
              <w:ind w:right="162"/>
              <w:rPr>
                <w:i/>
                <w:sz w:val="19"/>
              </w:rPr>
            </w:pPr>
            <w:r>
              <w:rPr>
                <w:i/>
                <w:sz w:val="19"/>
              </w:rPr>
              <w:t>Mary Liveratti</w:t>
            </w:r>
            <w:r w:rsidR="00551814">
              <w:rPr>
                <w:i/>
                <w:sz w:val="19"/>
              </w:rPr>
              <w:t>,</w:t>
            </w:r>
          </w:p>
          <w:p w14:paraId="78AC385A" w14:textId="12E46EC3" w:rsidR="00036692" w:rsidRDefault="003E1DDC" w:rsidP="00A22161">
            <w:pPr>
              <w:ind w:right="162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Member at Large </w:t>
            </w:r>
          </w:p>
          <w:p w14:paraId="01FADE91" w14:textId="77777777" w:rsidR="002E7268" w:rsidRDefault="002E7268" w:rsidP="00A22161">
            <w:pPr>
              <w:ind w:right="162"/>
              <w:rPr>
                <w:i/>
                <w:sz w:val="19"/>
              </w:rPr>
            </w:pPr>
          </w:p>
          <w:p w14:paraId="4C4F4AE7" w14:textId="77777777" w:rsidR="003E1DDC" w:rsidRDefault="003E1DDC" w:rsidP="002E7268">
            <w:pPr>
              <w:ind w:right="162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Niki Rubarth, Member at Large </w:t>
            </w:r>
          </w:p>
          <w:p w14:paraId="327F076F" w14:textId="77777777" w:rsidR="003E1DDC" w:rsidRDefault="003E1DDC" w:rsidP="002E7268">
            <w:pPr>
              <w:ind w:right="162"/>
              <w:rPr>
                <w:i/>
                <w:sz w:val="19"/>
              </w:rPr>
            </w:pPr>
          </w:p>
          <w:p w14:paraId="10391C8C" w14:textId="18F96406" w:rsidR="002E7268" w:rsidRDefault="00B574D2" w:rsidP="002E7268">
            <w:pPr>
              <w:ind w:right="162"/>
              <w:rPr>
                <w:i/>
                <w:sz w:val="19"/>
              </w:rPr>
            </w:pPr>
            <w:r>
              <w:rPr>
                <w:i/>
                <w:sz w:val="19"/>
              </w:rPr>
              <w:t>Jose (Joe) Tinio</w:t>
            </w:r>
          </w:p>
          <w:p w14:paraId="7A08DF5B" w14:textId="77777777" w:rsidR="00487B80" w:rsidRDefault="00487B80" w:rsidP="002E7268">
            <w:pPr>
              <w:ind w:right="162"/>
              <w:rPr>
                <w:i/>
                <w:sz w:val="19"/>
              </w:rPr>
            </w:pPr>
            <w:r>
              <w:rPr>
                <w:i/>
                <w:sz w:val="19"/>
              </w:rPr>
              <w:t>Member at Large</w:t>
            </w:r>
          </w:p>
          <w:p w14:paraId="416D9541" w14:textId="77777777" w:rsidR="000903E9" w:rsidRDefault="000903E9" w:rsidP="00A22161">
            <w:pPr>
              <w:ind w:right="162"/>
              <w:rPr>
                <w:i/>
                <w:sz w:val="19"/>
              </w:rPr>
            </w:pPr>
          </w:p>
          <w:p w14:paraId="07C3B4E2" w14:textId="0BCE6F85" w:rsidR="00487B80" w:rsidRDefault="00487B80" w:rsidP="001145CB">
            <w:pPr>
              <w:ind w:right="162"/>
              <w:rPr>
                <w:i/>
                <w:sz w:val="19"/>
              </w:rPr>
            </w:pPr>
          </w:p>
          <w:p w14:paraId="79FF07A2" w14:textId="77777777" w:rsidR="001145CB" w:rsidRDefault="001145CB" w:rsidP="007D47F6">
            <w:pPr>
              <w:ind w:right="162"/>
              <w:rPr>
                <w:i/>
                <w:sz w:val="19"/>
              </w:rPr>
            </w:pPr>
          </w:p>
          <w:p w14:paraId="47D4C145" w14:textId="77777777" w:rsidR="00345015" w:rsidRDefault="00345015" w:rsidP="00345015">
            <w:pPr>
              <w:ind w:right="162"/>
              <w:rPr>
                <w:i/>
                <w:sz w:val="19"/>
              </w:rPr>
            </w:pPr>
          </w:p>
          <w:p w14:paraId="480751CD" w14:textId="77777777" w:rsidR="00345015" w:rsidRDefault="00345015" w:rsidP="00345015">
            <w:pPr>
              <w:ind w:right="162"/>
              <w:rPr>
                <w:i/>
                <w:sz w:val="19"/>
              </w:rPr>
            </w:pPr>
          </w:p>
          <w:p w14:paraId="5BDA083A" w14:textId="77777777" w:rsidR="00CB7FD5" w:rsidRDefault="00CB7FD5" w:rsidP="00CB7FD5">
            <w:pPr>
              <w:ind w:right="162"/>
              <w:rPr>
                <w:i/>
                <w:sz w:val="19"/>
              </w:rPr>
            </w:pPr>
          </w:p>
          <w:p w14:paraId="567A8258" w14:textId="77777777" w:rsidR="00F61841" w:rsidRDefault="00F61841"/>
        </w:tc>
        <w:tc>
          <w:tcPr>
            <w:tcW w:w="7069" w:type="dxa"/>
          </w:tcPr>
          <w:p w14:paraId="34E74BAD" w14:textId="77777777" w:rsidR="00F61841" w:rsidRPr="00D54D1A" w:rsidRDefault="006D34B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54D1A">
              <w:rPr>
                <w:rFonts w:cs="Arial"/>
                <w:b/>
                <w:sz w:val="22"/>
                <w:szCs w:val="22"/>
              </w:rPr>
              <w:t>AGING AND DISABILITY SERVICES DIVISION</w:t>
            </w:r>
          </w:p>
          <w:p w14:paraId="284F004B" w14:textId="77777777" w:rsidR="001145CB" w:rsidRPr="00D54D1A" w:rsidRDefault="001145CB" w:rsidP="001145CB">
            <w:pPr>
              <w:rPr>
                <w:rFonts w:cs="Arial"/>
                <w:b/>
                <w:sz w:val="22"/>
                <w:szCs w:val="22"/>
              </w:rPr>
            </w:pPr>
          </w:p>
          <w:p w14:paraId="79CB0BEB" w14:textId="77777777" w:rsidR="00F61841" w:rsidRPr="00D54D1A" w:rsidRDefault="00F61841" w:rsidP="001145CB">
            <w:pPr>
              <w:jc w:val="center"/>
              <w:rPr>
                <w:rFonts w:cs="Arial"/>
                <w:sz w:val="22"/>
                <w:szCs w:val="22"/>
              </w:rPr>
            </w:pPr>
            <w:r w:rsidRPr="00D54D1A">
              <w:rPr>
                <w:rFonts w:cs="Arial"/>
                <w:b/>
                <w:sz w:val="22"/>
                <w:szCs w:val="22"/>
              </w:rPr>
              <w:t>COMMISSION ON AGING</w:t>
            </w:r>
          </w:p>
          <w:p w14:paraId="7D952BEE" w14:textId="77777777" w:rsidR="001145CB" w:rsidRPr="00D54D1A" w:rsidRDefault="001145CB" w:rsidP="001145CB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EC34983" w14:textId="77777777" w:rsidR="001145CB" w:rsidRPr="00D54D1A" w:rsidRDefault="001145CB" w:rsidP="001145CB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4E810C4" w14:textId="77777777" w:rsidR="00F61841" w:rsidRPr="00D54D1A" w:rsidRDefault="00F61841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270BACD1" w14:textId="77777777" w:rsidR="00D54D1A" w:rsidRDefault="00D54D1A" w:rsidP="00F708C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747F7A96" w14:textId="01B9FF74" w:rsidR="00F708C2" w:rsidRPr="00F708C2" w:rsidRDefault="00F708C2" w:rsidP="00F708C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January </w:t>
            </w:r>
            <w:r w:rsidR="004C53CD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, 2019</w:t>
            </w:r>
          </w:p>
          <w:p w14:paraId="598EC487" w14:textId="13A84C82" w:rsidR="00F708C2" w:rsidRPr="00F708C2" w:rsidRDefault="00FC4271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Nevada Governor Steve Sisolak</w:t>
            </w:r>
            <w:r w:rsidR="00F708C2"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14:paraId="55164895" w14:textId="328C6479" w:rsidR="00F708C2" w:rsidRPr="00F708C2" w:rsidRDefault="00FC4271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101 N. Carson Street</w:t>
            </w:r>
            <w:r w:rsidR="00F708C2"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14:paraId="29A6F8C2" w14:textId="003BBC9B" w:rsidR="00F708C2" w:rsidRPr="00D54D1A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Carson City, NV 8970</w:t>
            </w:r>
            <w:r w:rsidR="00FC4271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</w:p>
          <w:p w14:paraId="47526628" w14:textId="3F25E459" w:rsidR="002863E0" w:rsidRPr="00D54D1A" w:rsidRDefault="002863E0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2BB5FFAD" w14:textId="77777777" w:rsidR="002863E0" w:rsidRPr="00F708C2" w:rsidRDefault="002863E0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31955FBB" w14:textId="531EC2F1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Dear </w:t>
            </w:r>
            <w:r w:rsidR="00FC4271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Governor Sisolak,</w:t>
            </w:r>
          </w:p>
          <w:p w14:paraId="4A865A9B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1F4EC5B3" w14:textId="77777777" w:rsidR="00F708C2" w:rsidRPr="00F708C2" w:rsidRDefault="00F708C2" w:rsidP="00F708C2">
            <w:pPr>
              <w:overflowPunct/>
              <w:autoSpaceDE/>
              <w:autoSpaceDN/>
              <w:adjustRightInd/>
              <w:ind w:right="-105"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The Nevada Commission on Aging is writing this letter respectfully requesting a review in the upcoming budget on the current Home and Community Based Services (HCBS) budgeted caseload and eligibility process for the Frail Elderly (FE) and the Physical Disability (PD) Waiver. </w:t>
            </w:r>
          </w:p>
          <w:p w14:paraId="2C033241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11ABB35E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b/>
                <w:sz w:val="22"/>
                <w:szCs w:val="22"/>
                <w:u w:val="single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b/>
                <w:sz w:val="22"/>
                <w:szCs w:val="22"/>
                <w:u w:val="single"/>
                <w14:shadow w14:blurRad="0" w14:dist="0" w14:dir="0" w14:sx="0" w14:sy="0" w14:kx="0" w14:ky="0" w14:algn="none">
                  <w14:srgbClr w14:val="000000"/>
                </w14:shadow>
              </w:rPr>
              <w:t>Waiver Slots</w:t>
            </w:r>
          </w:p>
          <w:p w14:paraId="030CE921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Waiver slots keep individuals living in the community as opposed to being placed in an institutional setting. Waivers provide access to an array of community-based services including: personal care (bathing, grooming, toileting, transferring/ambulation, dressing, eating); adult day care; respite; homemaker services; chore services; and, adult companion.  Costs for community-based services are significantly less than for a nursing home placement.</w:t>
            </w:r>
          </w:p>
          <w:p w14:paraId="21585182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543BBCBF" w14:textId="42F510D0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As of December 2018, there are 504 older adults waiting an average of 135 days for access to the F</w:t>
            </w:r>
            <w:r w:rsidR="00BA6434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rail </w:t>
            </w: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E</w:t>
            </w:r>
            <w:r w:rsidR="00BA6434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lderly </w:t>
            </w: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HCBS </w:t>
            </w:r>
            <w:r w:rsidR="00CA7C98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W</w:t>
            </w: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aiver and 221 individuals waiting an average of </w:t>
            </w:r>
            <w:r w:rsidR="00BA6434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27</w:t>
            </w: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 days</w:t>
            </w:r>
            <w:r w:rsidR="00BA6434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for Physical Disability Waiver services</w:t>
            </w: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. While waiting to receive a waiver, these individuals are at risk of increased health issues and nursing home placement. Slots for waiver services are insufficient to meet the needs of the rapidly growing population. </w:t>
            </w:r>
          </w:p>
          <w:p w14:paraId="12C4D809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24A09349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The Nevada Commission on Aging supports increased budget authority to address waiver slots and eliminate the waiting period. </w:t>
            </w:r>
          </w:p>
          <w:p w14:paraId="3F3F0BF8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70BB08A0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b/>
                <w:sz w:val="22"/>
                <w:szCs w:val="22"/>
                <w:u w:val="single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b/>
                <w:sz w:val="22"/>
                <w:szCs w:val="22"/>
                <w:u w:val="single"/>
                <w14:shadow w14:blurRad="0" w14:dist="0" w14:dir="0" w14:sx="0" w14:sy="0" w14:kx="0" w14:ky="0" w14:algn="none">
                  <w14:srgbClr w14:val="000000"/>
                </w14:shadow>
              </w:rPr>
              <w:t>Eligibility Process</w:t>
            </w:r>
          </w:p>
          <w:p w14:paraId="5246D2AB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The Waiver eligibility process involves three (3) state agencies and can span a total of 90 days for a final decision as follows:</w:t>
            </w:r>
          </w:p>
          <w:p w14:paraId="020CBD5F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3DC9916C" w14:textId="6197A046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Nevada Aging and Disability Services Division (ADSD) – </w:t>
            </w:r>
          </w:p>
          <w:p w14:paraId="78DCA0A5" w14:textId="77777777" w:rsidR="00F708C2" w:rsidRPr="00F708C2" w:rsidRDefault="00F708C2" w:rsidP="00F708C2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Screens for eligibility within 15 days of receipt of application to determine preliminary eligibility.</w:t>
            </w:r>
          </w:p>
          <w:p w14:paraId="430BC491" w14:textId="77777777" w:rsidR="00F708C2" w:rsidRPr="00F708C2" w:rsidRDefault="00F708C2" w:rsidP="00F708C2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Completes an in-person assessment within 45 days of application for individuals determined with preliminary eligibility.</w:t>
            </w:r>
          </w:p>
          <w:p w14:paraId="3580B46F" w14:textId="77777777" w:rsidR="00F708C2" w:rsidRPr="00F708C2" w:rsidRDefault="00F708C2" w:rsidP="00F708C2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Sends application packet to Nevada Division of Welfare and Supportive Services (DWSS) for final eligibility determination.</w:t>
            </w:r>
          </w:p>
          <w:p w14:paraId="2596E449" w14:textId="5E298399" w:rsid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79AA5B92" w14:textId="77777777" w:rsidR="00FC4271" w:rsidRPr="00F708C2" w:rsidRDefault="00FC4271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28C095D2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Nevada Division of Welfare and Supportive Services (DWSS) – </w:t>
            </w:r>
          </w:p>
          <w:p w14:paraId="7F404FD5" w14:textId="77777777" w:rsidR="00F708C2" w:rsidRPr="00F708C2" w:rsidRDefault="00F708C2" w:rsidP="00F708C2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Completes a desk review, requests financials and all required documentation to verify eligibility within 45 days. </w:t>
            </w:r>
          </w:p>
          <w:p w14:paraId="6143A792" w14:textId="77777777" w:rsidR="00F708C2" w:rsidRPr="00F708C2" w:rsidRDefault="00F708C2" w:rsidP="00F708C2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Final eligibility determination is communicated to ADSD for action.</w:t>
            </w:r>
          </w:p>
          <w:p w14:paraId="7B807C5A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0B2F939E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Nevada Division of Healthcare Financing and Policy (DHCFP)-</w:t>
            </w:r>
          </w:p>
          <w:p w14:paraId="3B3EBEE2" w14:textId="77777777" w:rsidR="00F708C2" w:rsidRPr="00F708C2" w:rsidRDefault="00F708C2" w:rsidP="00F708C2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DHCFP receives final waiver approval from ADSD for an administrative review and approval.</w:t>
            </w:r>
          </w:p>
          <w:p w14:paraId="712DBD90" w14:textId="77777777" w:rsidR="00F708C2" w:rsidRPr="00F708C2" w:rsidRDefault="00F708C2" w:rsidP="00F708C2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DHCFP has 15 days to make the final determination and system changes to implement services.</w:t>
            </w:r>
          </w:p>
          <w:p w14:paraId="02CE38E0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3C688AB8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The current process is complex for individuals to navigate, time intensive, and does not support access to services at a reasonable pace.  </w:t>
            </w:r>
          </w:p>
          <w:p w14:paraId="119E882B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09DAA381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The Nevada Commission on Aging would recommend a streamlined eligibility process for HCBS Waivers to keep people in their homes, avoid institutionalization, and save taxpayer dollars.  </w:t>
            </w:r>
          </w:p>
          <w:p w14:paraId="23BF4316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7B7D77CF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708C2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Sincerely,</w:t>
            </w:r>
          </w:p>
          <w:p w14:paraId="176A31B8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60021A83" w14:textId="59BA593A" w:rsidR="00F708C2" w:rsidRPr="00D54D1A" w:rsidRDefault="004C53CD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NEVADA COMMISSION ON AGING</w:t>
            </w:r>
          </w:p>
          <w:p w14:paraId="5F8D26EF" w14:textId="77777777" w:rsidR="00F708C2" w:rsidRPr="00F708C2" w:rsidRDefault="00F708C2" w:rsidP="00F708C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4BBFF60C" w14:textId="3813E00F" w:rsidR="00F708C2" w:rsidRPr="00D54D1A" w:rsidRDefault="00F708C2" w:rsidP="00F708C2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4D1A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Chris Giunchigliani</w:t>
            </w:r>
          </w:p>
          <w:p w14:paraId="6D877A56" w14:textId="79D58EF6" w:rsidR="00F708C2" w:rsidRPr="00D54D1A" w:rsidRDefault="00F708C2" w:rsidP="00F708C2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4D1A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Daniel Corona</w:t>
            </w:r>
          </w:p>
          <w:p w14:paraId="10DA71D9" w14:textId="4FAE06CD" w:rsidR="00F708C2" w:rsidRPr="00D54D1A" w:rsidRDefault="00F708C2" w:rsidP="00F708C2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4D1A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Stacy Gilbert</w:t>
            </w:r>
          </w:p>
          <w:p w14:paraId="6247D092" w14:textId="6FF2753E" w:rsidR="00F708C2" w:rsidRPr="00D54D1A" w:rsidRDefault="00F708C2" w:rsidP="00F708C2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4D1A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Barry Gold</w:t>
            </w:r>
          </w:p>
          <w:p w14:paraId="4388BB2B" w14:textId="639B5292" w:rsidR="00F708C2" w:rsidRPr="00D54D1A" w:rsidRDefault="00F708C2" w:rsidP="00F708C2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4D1A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Leilani Kimmell Dagostino</w:t>
            </w:r>
          </w:p>
          <w:p w14:paraId="58BB858D" w14:textId="45C1A2C3" w:rsidR="00F708C2" w:rsidRPr="00D54D1A" w:rsidRDefault="00F708C2" w:rsidP="00F708C2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4D1A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Jeffrey Klein</w:t>
            </w:r>
          </w:p>
          <w:p w14:paraId="2F3BF9F1" w14:textId="4F69CFF6" w:rsidR="00F708C2" w:rsidRPr="00D54D1A" w:rsidRDefault="00F708C2" w:rsidP="00F708C2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4D1A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Mary Liveratti</w:t>
            </w:r>
          </w:p>
          <w:p w14:paraId="295BEC15" w14:textId="6FF8C980" w:rsidR="007523A3" w:rsidRPr="00D54D1A" w:rsidRDefault="007523A3" w:rsidP="00F708C2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4D1A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Niki Rubarth</w:t>
            </w:r>
          </w:p>
          <w:p w14:paraId="36572F22" w14:textId="67FA34D5" w:rsidR="007523A3" w:rsidRPr="00D54D1A" w:rsidRDefault="007523A3" w:rsidP="00F708C2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4D1A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Jose (Joe) Tinio</w:t>
            </w:r>
          </w:p>
          <w:p w14:paraId="7321B9AC" w14:textId="1AF17ECC" w:rsidR="007523A3" w:rsidRPr="00D54D1A" w:rsidRDefault="007523A3" w:rsidP="00D54D1A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4D1A"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Nicole Cannizzaro</w:t>
            </w:r>
          </w:p>
          <w:p w14:paraId="60C8CC81" w14:textId="77777777" w:rsidR="00284C8F" w:rsidRDefault="00284C8F" w:rsidP="002863E0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Ellen Spiegel</w:t>
            </w:r>
          </w:p>
          <w:p w14:paraId="6C4B1656" w14:textId="0AFE81DE" w:rsidR="00FC4271" w:rsidRDefault="00FC4271" w:rsidP="002863E0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Dena Schmidt</w:t>
            </w:r>
          </w:p>
          <w:p w14:paraId="29257DFC" w14:textId="678D9F4B" w:rsidR="002863E0" w:rsidRDefault="002863E0" w:rsidP="002863E0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bookmarkStart w:id="0" w:name="_GoBack"/>
            <w:bookmarkEnd w:id="0"/>
          </w:p>
          <w:p w14:paraId="0C065A87" w14:textId="40FFEF1D" w:rsidR="002863E0" w:rsidRDefault="002863E0" w:rsidP="002863E0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3584F6B0" w14:textId="48F89EE5" w:rsidR="00BD6529" w:rsidRDefault="00BD6529" w:rsidP="002863E0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04F492AF" w14:textId="35ABEEBC" w:rsidR="00BD6529" w:rsidRDefault="00BD6529" w:rsidP="002863E0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1FF26DC0" w14:textId="72FFB18E" w:rsidR="00BD6529" w:rsidRDefault="00BD6529" w:rsidP="002863E0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CC:  Richard Whitley, Director, Department of Health and</w:t>
            </w:r>
          </w:p>
          <w:p w14:paraId="564B82CE" w14:textId="274A9D1B" w:rsidR="00BD6529" w:rsidRDefault="00BD6529" w:rsidP="002863E0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Human Services</w:t>
            </w:r>
          </w:p>
          <w:p w14:paraId="7479EB93" w14:textId="6E7C874F" w:rsidR="00BD6529" w:rsidRDefault="00BD6529" w:rsidP="002863E0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Steve Fisher, Administrator, Division of Welfare and</w:t>
            </w:r>
          </w:p>
          <w:p w14:paraId="3A5FE054" w14:textId="435DDF30" w:rsidR="00BD6529" w:rsidRDefault="00BD6529" w:rsidP="002863E0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Supportive Services</w:t>
            </w:r>
          </w:p>
          <w:p w14:paraId="0347FBB3" w14:textId="4FED102F" w:rsidR="00BD6529" w:rsidRDefault="00BD6529" w:rsidP="002863E0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Cody Phinney, Acting Administrator, Division of Health</w:t>
            </w:r>
          </w:p>
          <w:p w14:paraId="5492BFB4" w14:textId="218CE299" w:rsidR="00BD6529" w:rsidRPr="00D54D1A" w:rsidRDefault="00BD6529" w:rsidP="002863E0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Care Financing and Policy</w:t>
            </w:r>
          </w:p>
          <w:p w14:paraId="21482CB1" w14:textId="77777777" w:rsidR="00D54D1A" w:rsidRDefault="00D54D1A" w:rsidP="002863E0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08C1E813" w14:textId="77777777" w:rsidR="00D54D1A" w:rsidRDefault="00D54D1A" w:rsidP="002863E0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5C923B9E" w14:textId="77777777" w:rsidR="00D54D1A" w:rsidRDefault="00D54D1A" w:rsidP="002863E0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49D8E273" w14:textId="7D649FE9" w:rsidR="001145CB" w:rsidRDefault="001145CB">
            <w:pPr>
              <w:rPr>
                <w:rFonts w:eastAsiaTheme="minorHAnsi" w:cs="Arial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1857BB56" w14:textId="78BA984C" w:rsidR="00FC4271" w:rsidRDefault="00FC4271">
            <w:pPr>
              <w:rPr>
                <w:rFonts w:cs="Arial"/>
                <w:sz w:val="22"/>
                <w:szCs w:val="22"/>
              </w:rPr>
            </w:pPr>
          </w:p>
          <w:p w14:paraId="29719572" w14:textId="057EF761" w:rsidR="00FC4271" w:rsidRDefault="00FC4271">
            <w:pPr>
              <w:rPr>
                <w:rFonts w:cs="Arial"/>
                <w:sz w:val="22"/>
                <w:szCs w:val="22"/>
              </w:rPr>
            </w:pPr>
          </w:p>
          <w:p w14:paraId="72E50A38" w14:textId="57C5F935" w:rsidR="00FC4271" w:rsidRDefault="00FC4271">
            <w:pPr>
              <w:rPr>
                <w:rFonts w:cs="Arial"/>
                <w:sz w:val="22"/>
                <w:szCs w:val="22"/>
              </w:rPr>
            </w:pPr>
          </w:p>
          <w:p w14:paraId="60F651A0" w14:textId="77777777" w:rsidR="00FC4271" w:rsidRPr="00D54D1A" w:rsidRDefault="00FC4271">
            <w:pPr>
              <w:rPr>
                <w:rFonts w:cs="Arial"/>
                <w:sz w:val="22"/>
                <w:szCs w:val="22"/>
              </w:rPr>
            </w:pPr>
          </w:p>
          <w:p w14:paraId="20744007" w14:textId="41B7E446" w:rsidR="009403C6" w:rsidRDefault="009403C6">
            <w:pPr>
              <w:rPr>
                <w:rFonts w:cs="Arial"/>
                <w:sz w:val="22"/>
                <w:szCs w:val="22"/>
              </w:rPr>
            </w:pPr>
          </w:p>
          <w:p w14:paraId="46BD256D" w14:textId="615191D3" w:rsidR="00D54D1A" w:rsidRDefault="00D54D1A">
            <w:pPr>
              <w:rPr>
                <w:rFonts w:cs="Arial"/>
                <w:sz w:val="22"/>
                <w:szCs w:val="22"/>
              </w:rPr>
            </w:pPr>
          </w:p>
          <w:p w14:paraId="11543395" w14:textId="664B8C21" w:rsidR="00D54D1A" w:rsidRDefault="00D54D1A">
            <w:pPr>
              <w:rPr>
                <w:rFonts w:cs="Arial"/>
                <w:sz w:val="22"/>
                <w:szCs w:val="22"/>
              </w:rPr>
            </w:pPr>
          </w:p>
          <w:p w14:paraId="77FA6EE2" w14:textId="5D7CD07B" w:rsidR="00D54D1A" w:rsidRDefault="00D54D1A">
            <w:pPr>
              <w:rPr>
                <w:rFonts w:cs="Arial"/>
                <w:sz w:val="22"/>
                <w:szCs w:val="22"/>
              </w:rPr>
            </w:pPr>
          </w:p>
          <w:p w14:paraId="1856EC9B" w14:textId="59BFBBB1" w:rsidR="00D54D1A" w:rsidRDefault="00D54D1A">
            <w:pPr>
              <w:rPr>
                <w:rFonts w:cs="Arial"/>
                <w:sz w:val="22"/>
                <w:szCs w:val="22"/>
              </w:rPr>
            </w:pPr>
          </w:p>
          <w:p w14:paraId="3DFAC5F0" w14:textId="77777777" w:rsidR="00D54D1A" w:rsidRPr="00D54D1A" w:rsidRDefault="00D54D1A">
            <w:pPr>
              <w:rPr>
                <w:rFonts w:cs="Arial"/>
                <w:sz w:val="22"/>
                <w:szCs w:val="22"/>
              </w:rPr>
            </w:pPr>
          </w:p>
          <w:p w14:paraId="1CAFFE81" w14:textId="5B5E1C8F" w:rsidR="001145CB" w:rsidRPr="00D54D1A" w:rsidRDefault="007120B3">
            <w:pPr>
              <w:rPr>
                <w:rFonts w:cs="Arial"/>
                <w:sz w:val="22"/>
                <w:szCs w:val="22"/>
              </w:rPr>
            </w:pPr>
            <w:r w:rsidRPr="00D54D1A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AB19E5" w:rsidRPr="00D54D1A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1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34ECA" w14:textId="77777777" w:rsidR="00F61841" w:rsidRDefault="00F61841">
            <w:pPr>
              <w:rPr>
                <w:i/>
                <w:sz w:val="19"/>
              </w:rPr>
            </w:pPr>
          </w:p>
          <w:p w14:paraId="2DB27081" w14:textId="77777777" w:rsidR="006A7A58" w:rsidRDefault="006A7A58">
            <w:pPr>
              <w:rPr>
                <w:i/>
                <w:sz w:val="19"/>
              </w:rPr>
            </w:pPr>
          </w:p>
          <w:p w14:paraId="3192C587" w14:textId="77777777" w:rsidR="006A7A58" w:rsidRDefault="006A7A58">
            <w:pPr>
              <w:rPr>
                <w:i/>
                <w:sz w:val="19"/>
              </w:rPr>
            </w:pPr>
          </w:p>
          <w:p w14:paraId="66B09C84" w14:textId="77777777" w:rsidR="006A7A58" w:rsidRDefault="006A7A58">
            <w:pPr>
              <w:rPr>
                <w:i/>
                <w:sz w:val="19"/>
              </w:rPr>
            </w:pPr>
          </w:p>
          <w:p w14:paraId="207150F1" w14:textId="77777777" w:rsidR="006A7A58" w:rsidRDefault="006A7A58">
            <w:pPr>
              <w:rPr>
                <w:i/>
                <w:sz w:val="19"/>
              </w:rPr>
            </w:pPr>
          </w:p>
          <w:p w14:paraId="363AF0FD" w14:textId="77777777" w:rsidR="00E418A4" w:rsidRDefault="00E418A4">
            <w:pPr>
              <w:rPr>
                <w:i/>
                <w:sz w:val="19"/>
              </w:rPr>
            </w:pPr>
          </w:p>
          <w:p w14:paraId="0E3BDFAC" w14:textId="77777777" w:rsidR="00E418A4" w:rsidRDefault="00E418A4">
            <w:pPr>
              <w:rPr>
                <w:i/>
                <w:sz w:val="19"/>
              </w:rPr>
            </w:pPr>
          </w:p>
          <w:p w14:paraId="2A008115" w14:textId="77777777" w:rsidR="00E418A4" w:rsidRDefault="00E418A4">
            <w:pPr>
              <w:rPr>
                <w:i/>
                <w:sz w:val="19"/>
              </w:rPr>
            </w:pPr>
          </w:p>
          <w:p w14:paraId="7064D3EC" w14:textId="77777777" w:rsidR="00E418A4" w:rsidRDefault="00E418A4">
            <w:pPr>
              <w:rPr>
                <w:i/>
                <w:sz w:val="19"/>
              </w:rPr>
            </w:pPr>
          </w:p>
          <w:p w14:paraId="4E0767EE" w14:textId="77777777" w:rsidR="00F92C41" w:rsidRDefault="00F92C41" w:rsidP="006119EC">
            <w:pPr>
              <w:rPr>
                <w:i/>
                <w:sz w:val="19"/>
              </w:rPr>
            </w:pPr>
          </w:p>
          <w:p w14:paraId="4150E3FC" w14:textId="77777777" w:rsidR="00F92C41" w:rsidRDefault="00F92C41" w:rsidP="006119EC">
            <w:pPr>
              <w:rPr>
                <w:b/>
                <w:i/>
                <w:sz w:val="19"/>
              </w:rPr>
            </w:pPr>
          </w:p>
          <w:p w14:paraId="542B20E2" w14:textId="77777777" w:rsidR="0065350D" w:rsidRDefault="00F61841" w:rsidP="006119EC">
            <w:pPr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Nevada</w:t>
            </w:r>
          </w:p>
          <w:p w14:paraId="10AA64C4" w14:textId="35BE7682" w:rsidR="00F61841" w:rsidRDefault="00F61841" w:rsidP="006119EC">
            <w:pPr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Commission</w:t>
            </w:r>
            <w:r w:rsidR="00F92C41">
              <w:rPr>
                <w:b/>
                <w:i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on Aging</w:t>
            </w:r>
          </w:p>
          <w:p w14:paraId="73E87E5A" w14:textId="77777777" w:rsidR="00F61841" w:rsidRDefault="00F61841">
            <w:pPr>
              <w:ind w:left="252"/>
              <w:rPr>
                <w:b/>
                <w:i/>
                <w:sz w:val="19"/>
              </w:rPr>
            </w:pPr>
          </w:p>
          <w:p w14:paraId="39444A04" w14:textId="5DD751F1" w:rsidR="00F61841" w:rsidRDefault="00F61841" w:rsidP="0065350D">
            <w:pPr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Non-Voting Members</w:t>
            </w:r>
            <w:r w:rsidR="006119EC">
              <w:rPr>
                <w:b/>
                <w:i/>
                <w:sz w:val="19"/>
              </w:rPr>
              <w:t>:</w:t>
            </w:r>
          </w:p>
          <w:p w14:paraId="0BD85718" w14:textId="77777777" w:rsidR="00F61841" w:rsidRDefault="00F61841">
            <w:pPr>
              <w:ind w:left="252"/>
              <w:rPr>
                <w:i/>
                <w:sz w:val="19"/>
              </w:rPr>
            </w:pPr>
          </w:p>
          <w:p w14:paraId="0591ECD1" w14:textId="77777777" w:rsidR="00F61841" w:rsidRDefault="007632B1" w:rsidP="0065350D">
            <w:pPr>
              <w:rPr>
                <w:i/>
                <w:sz w:val="19"/>
              </w:rPr>
            </w:pPr>
            <w:r>
              <w:rPr>
                <w:i/>
                <w:sz w:val="19"/>
              </w:rPr>
              <w:t>Richard Whitley</w:t>
            </w:r>
            <w:r w:rsidR="00F61841">
              <w:rPr>
                <w:i/>
                <w:sz w:val="19"/>
              </w:rPr>
              <w:t>, Directo</w:t>
            </w:r>
            <w:r w:rsidR="00034A35">
              <w:rPr>
                <w:i/>
                <w:sz w:val="19"/>
              </w:rPr>
              <w:t xml:space="preserve">r, Department of Health and Human </w:t>
            </w:r>
          </w:p>
          <w:p w14:paraId="4A36D123" w14:textId="77777777" w:rsidR="00034A35" w:rsidRDefault="00034A35" w:rsidP="0065350D">
            <w:pPr>
              <w:rPr>
                <w:i/>
                <w:sz w:val="19"/>
              </w:rPr>
            </w:pPr>
            <w:r>
              <w:rPr>
                <w:i/>
                <w:sz w:val="19"/>
              </w:rPr>
              <w:t>Services</w:t>
            </w:r>
          </w:p>
          <w:p w14:paraId="340202EF" w14:textId="77777777" w:rsidR="00F61841" w:rsidRDefault="00F61841">
            <w:pPr>
              <w:ind w:left="252"/>
              <w:rPr>
                <w:i/>
                <w:sz w:val="19"/>
              </w:rPr>
            </w:pPr>
          </w:p>
          <w:p w14:paraId="4C374EC9" w14:textId="38DE4E6B" w:rsidR="00F61841" w:rsidRDefault="00BA432D" w:rsidP="0065350D">
            <w:pPr>
              <w:rPr>
                <w:i/>
                <w:sz w:val="19"/>
              </w:rPr>
            </w:pPr>
            <w:r>
              <w:rPr>
                <w:i/>
                <w:sz w:val="19"/>
              </w:rPr>
              <w:t>Dena Schmidt</w:t>
            </w:r>
            <w:r w:rsidR="00F61841">
              <w:rPr>
                <w:i/>
                <w:sz w:val="19"/>
              </w:rPr>
              <w:t xml:space="preserve">, Administrator, </w:t>
            </w:r>
            <w:r w:rsidR="00311278">
              <w:rPr>
                <w:i/>
                <w:sz w:val="19"/>
              </w:rPr>
              <w:t xml:space="preserve">Aging and Disability Services Division </w:t>
            </w:r>
          </w:p>
          <w:p w14:paraId="00D64532" w14:textId="77777777" w:rsidR="00F61841" w:rsidRDefault="00F61841">
            <w:pPr>
              <w:ind w:left="252"/>
              <w:rPr>
                <w:i/>
                <w:sz w:val="19"/>
              </w:rPr>
            </w:pPr>
          </w:p>
          <w:p w14:paraId="37295047" w14:textId="79398B84" w:rsidR="004374B8" w:rsidRPr="006119EC" w:rsidRDefault="00904DA0" w:rsidP="006119EC">
            <w:pPr>
              <w:rPr>
                <w:i/>
                <w:sz w:val="19"/>
                <w:szCs w:val="19"/>
              </w:rPr>
            </w:pPr>
            <w:r w:rsidRPr="006119EC">
              <w:rPr>
                <w:i/>
                <w:sz w:val="19"/>
                <w:szCs w:val="19"/>
              </w:rPr>
              <w:t>Nicole Cannizzaro</w:t>
            </w:r>
            <w:r w:rsidR="001145CB" w:rsidRPr="006119EC">
              <w:rPr>
                <w:i/>
                <w:sz w:val="19"/>
                <w:szCs w:val="19"/>
              </w:rPr>
              <w:t>,</w:t>
            </w:r>
          </w:p>
          <w:p w14:paraId="46F987B7" w14:textId="101F0BA1" w:rsidR="00F61841" w:rsidRPr="006119EC" w:rsidRDefault="00F61841" w:rsidP="006119EC">
            <w:pPr>
              <w:rPr>
                <w:i/>
                <w:sz w:val="19"/>
                <w:szCs w:val="19"/>
              </w:rPr>
            </w:pPr>
            <w:r w:rsidRPr="006119EC">
              <w:rPr>
                <w:i/>
                <w:sz w:val="19"/>
                <w:szCs w:val="19"/>
              </w:rPr>
              <w:t>State Senator</w:t>
            </w:r>
          </w:p>
          <w:p w14:paraId="2F59AF45" w14:textId="77777777" w:rsidR="0065350D" w:rsidRDefault="0065350D" w:rsidP="006119EC">
            <w:pPr>
              <w:rPr>
                <w:i/>
                <w:sz w:val="19"/>
              </w:rPr>
            </w:pPr>
          </w:p>
          <w:p w14:paraId="1D3079EC" w14:textId="1EA5ACE8" w:rsidR="004374B8" w:rsidRPr="006119EC" w:rsidRDefault="00904DA0" w:rsidP="006119EC">
            <w:pPr>
              <w:rPr>
                <w:i/>
                <w:sz w:val="19"/>
                <w:szCs w:val="19"/>
              </w:rPr>
            </w:pPr>
            <w:r w:rsidRPr="006119EC">
              <w:rPr>
                <w:i/>
                <w:sz w:val="19"/>
                <w:szCs w:val="19"/>
              </w:rPr>
              <w:t>Ellen Spiegel</w:t>
            </w:r>
            <w:r w:rsidR="007632B1" w:rsidRPr="006119EC">
              <w:rPr>
                <w:i/>
                <w:sz w:val="19"/>
                <w:szCs w:val="19"/>
              </w:rPr>
              <w:t>,</w:t>
            </w:r>
          </w:p>
          <w:p w14:paraId="67C21917" w14:textId="2190B171" w:rsidR="00F61841" w:rsidRDefault="004374B8" w:rsidP="0065350D">
            <w:pPr>
              <w:rPr>
                <w:i/>
                <w:sz w:val="19"/>
              </w:rPr>
            </w:pPr>
            <w:r>
              <w:rPr>
                <w:i/>
                <w:sz w:val="19"/>
              </w:rPr>
              <w:t>State Assembly</w:t>
            </w:r>
            <w:r w:rsidR="004C53CD">
              <w:rPr>
                <w:i/>
                <w:sz w:val="19"/>
              </w:rPr>
              <w:t>woman</w:t>
            </w:r>
          </w:p>
          <w:p w14:paraId="55C51F81" w14:textId="77777777" w:rsidR="00D54D1A" w:rsidRDefault="00D54D1A">
            <w:pPr>
              <w:ind w:left="252"/>
              <w:rPr>
                <w:i/>
                <w:sz w:val="19"/>
              </w:rPr>
            </w:pPr>
          </w:p>
          <w:p w14:paraId="3F06E489" w14:textId="77777777" w:rsidR="00D54D1A" w:rsidRDefault="00D54D1A">
            <w:pPr>
              <w:ind w:left="252"/>
              <w:rPr>
                <w:i/>
                <w:sz w:val="19"/>
              </w:rPr>
            </w:pPr>
          </w:p>
          <w:p w14:paraId="181162BC" w14:textId="77777777" w:rsidR="00D54D1A" w:rsidRDefault="00D54D1A">
            <w:pPr>
              <w:ind w:left="252"/>
              <w:rPr>
                <w:i/>
                <w:sz w:val="19"/>
              </w:rPr>
            </w:pPr>
          </w:p>
          <w:p w14:paraId="678CDF84" w14:textId="77777777" w:rsidR="00D54D1A" w:rsidRDefault="00D54D1A">
            <w:pPr>
              <w:ind w:left="252"/>
              <w:rPr>
                <w:i/>
                <w:sz w:val="19"/>
              </w:rPr>
            </w:pPr>
          </w:p>
          <w:p w14:paraId="005FEC6F" w14:textId="77777777" w:rsidR="00D54D1A" w:rsidRDefault="00D54D1A">
            <w:pPr>
              <w:ind w:left="252"/>
              <w:rPr>
                <w:i/>
                <w:sz w:val="19"/>
              </w:rPr>
            </w:pPr>
          </w:p>
          <w:p w14:paraId="0184A590" w14:textId="77777777" w:rsidR="00D54D1A" w:rsidRDefault="00D54D1A">
            <w:pPr>
              <w:ind w:left="252"/>
              <w:rPr>
                <w:i/>
                <w:sz w:val="19"/>
              </w:rPr>
            </w:pPr>
          </w:p>
          <w:p w14:paraId="45B53F5A" w14:textId="77777777" w:rsidR="00D54D1A" w:rsidRDefault="00D54D1A">
            <w:pPr>
              <w:ind w:left="252"/>
              <w:rPr>
                <w:i/>
                <w:sz w:val="19"/>
              </w:rPr>
            </w:pPr>
          </w:p>
          <w:p w14:paraId="67427A35" w14:textId="77777777" w:rsidR="00D54D1A" w:rsidRDefault="00D54D1A">
            <w:pPr>
              <w:ind w:left="252"/>
              <w:rPr>
                <w:i/>
                <w:sz w:val="19"/>
              </w:rPr>
            </w:pPr>
          </w:p>
          <w:p w14:paraId="3967E0D3" w14:textId="77777777" w:rsidR="00D54D1A" w:rsidRDefault="00D54D1A">
            <w:pPr>
              <w:ind w:left="252"/>
              <w:rPr>
                <w:i/>
                <w:sz w:val="19"/>
              </w:rPr>
            </w:pPr>
          </w:p>
          <w:p w14:paraId="76F4EC38" w14:textId="77777777" w:rsidR="00D54D1A" w:rsidRDefault="00D54D1A">
            <w:pPr>
              <w:ind w:left="252"/>
              <w:rPr>
                <w:i/>
                <w:sz w:val="19"/>
              </w:rPr>
            </w:pPr>
          </w:p>
          <w:p w14:paraId="692C04EB" w14:textId="77777777" w:rsidR="00D54D1A" w:rsidRDefault="00D54D1A">
            <w:pPr>
              <w:ind w:left="252"/>
              <w:rPr>
                <w:i/>
                <w:sz w:val="19"/>
              </w:rPr>
            </w:pPr>
          </w:p>
          <w:p w14:paraId="2EADC21B" w14:textId="77777777" w:rsidR="00D54D1A" w:rsidRDefault="00D54D1A">
            <w:pPr>
              <w:ind w:left="252"/>
              <w:rPr>
                <w:i/>
                <w:sz w:val="19"/>
              </w:rPr>
            </w:pPr>
          </w:p>
          <w:p w14:paraId="1E5B9B93" w14:textId="77777777" w:rsidR="00D54D1A" w:rsidRDefault="00D54D1A">
            <w:pPr>
              <w:ind w:left="252"/>
              <w:rPr>
                <w:i/>
                <w:sz w:val="19"/>
              </w:rPr>
            </w:pPr>
          </w:p>
          <w:p w14:paraId="3D72CF80" w14:textId="77777777" w:rsidR="00D54D1A" w:rsidRDefault="00D54D1A">
            <w:pPr>
              <w:ind w:left="252"/>
              <w:rPr>
                <w:i/>
                <w:sz w:val="19"/>
              </w:rPr>
            </w:pPr>
          </w:p>
          <w:p w14:paraId="2BB31575" w14:textId="286F6CDC" w:rsidR="00D54D1A" w:rsidRDefault="00D54D1A">
            <w:pPr>
              <w:ind w:left="252"/>
              <w:rPr>
                <w:i/>
                <w:sz w:val="19"/>
              </w:rPr>
            </w:pPr>
          </w:p>
          <w:p w14:paraId="55AFF363" w14:textId="5A18F108" w:rsidR="006119EC" w:rsidRDefault="006119EC">
            <w:pPr>
              <w:ind w:left="252"/>
              <w:rPr>
                <w:i/>
                <w:sz w:val="19"/>
              </w:rPr>
            </w:pPr>
          </w:p>
          <w:p w14:paraId="09E3B878" w14:textId="0028910A" w:rsidR="006119EC" w:rsidRDefault="006119EC">
            <w:pPr>
              <w:ind w:left="252"/>
              <w:rPr>
                <w:i/>
                <w:sz w:val="19"/>
              </w:rPr>
            </w:pPr>
          </w:p>
          <w:p w14:paraId="2F50DE03" w14:textId="77777777" w:rsidR="006119EC" w:rsidRDefault="006119EC">
            <w:pPr>
              <w:ind w:left="252"/>
              <w:rPr>
                <w:i/>
                <w:sz w:val="19"/>
              </w:rPr>
            </w:pPr>
          </w:p>
          <w:p w14:paraId="1C4976B4" w14:textId="788F4766" w:rsidR="00F61841" w:rsidRDefault="00D54D1A" w:rsidP="00D54D1A">
            <w:pPr>
              <w:rPr>
                <w:i/>
                <w:sz w:val="19"/>
              </w:rPr>
            </w:pPr>
            <w:r>
              <w:rPr>
                <w:i/>
                <w:noProof/>
                <w:sz w:val="19"/>
              </w:rPr>
              <w:drawing>
                <wp:inline distT="0" distB="0" distL="0" distR="0" wp14:anchorId="1B1AE7C9" wp14:editId="723AD16C">
                  <wp:extent cx="962025" cy="117157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5B87B8" w14:textId="77777777" w:rsidR="00F61841" w:rsidRDefault="00F61841">
            <w:pPr>
              <w:ind w:left="252"/>
              <w:rPr>
                <w:i/>
                <w:sz w:val="19"/>
              </w:rPr>
            </w:pPr>
          </w:p>
          <w:p w14:paraId="57727DC0" w14:textId="77777777" w:rsidR="00F61841" w:rsidRDefault="00F61841">
            <w:pPr>
              <w:ind w:left="252"/>
              <w:rPr>
                <w:i/>
                <w:sz w:val="19"/>
              </w:rPr>
            </w:pPr>
          </w:p>
          <w:p w14:paraId="5E4F1BC5" w14:textId="77777777" w:rsidR="00F61841" w:rsidRDefault="00F61841">
            <w:pPr>
              <w:ind w:left="252"/>
              <w:rPr>
                <w:i/>
                <w:sz w:val="19"/>
              </w:rPr>
            </w:pPr>
          </w:p>
          <w:p w14:paraId="1BE9396C" w14:textId="77777777" w:rsidR="00005FC9" w:rsidRDefault="00005FC9">
            <w:pPr>
              <w:ind w:left="252"/>
              <w:rPr>
                <w:i/>
                <w:sz w:val="19"/>
              </w:rPr>
            </w:pPr>
          </w:p>
          <w:p w14:paraId="5D4CAA71" w14:textId="77777777" w:rsidR="00005FC9" w:rsidRDefault="00005FC9">
            <w:pPr>
              <w:ind w:left="252"/>
              <w:rPr>
                <w:i/>
                <w:sz w:val="19"/>
              </w:rPr>
            </w:pPr>
          </w:p>
          <w:p w14:paraId="61339275" w14:textId="77777777" w:rsidR="00005FC9" w:rsidRDefault="00005FC9">
            <w:pPr>
              <w:ind w:left="252"/>
              <w:rPr>
                <w:i/>
                <w:sz w:val="19"/>
              </w:rPr>
            </w:pPr>
          </w:p>
          <w:p w14:paraId="12867171" w14:textId="77777777" w:rsidR="000A13D9" w:rsidRDefault="000A13D9">
            <w:pPr>
              <w:ind w:left="252"/>
              <w:rPr>
                <w:i/>
                <w:sz w:val="19"/>
              </w:rPr>
            </w:pPr>
          </w:p>
          <w:p w14:paraId="4ABAB4D9" w14:textId="77777777" w:rsidR="000A13D9" w:rsidRDefault="000A13D9">
            <w:pPr>
              <w:ind w:left="252"/>
              <w:rPr>
                <w:i/>
                <w:sz w:val="19"/>
              </w:rPr>
            </w:pPr>
          </w:p>
          <w:p w14:paraId="77B8B688" w14:textId="77777777" w:rsidR="000A13D9" w:rsidRDefault="000A13D9">
            <w:pPr>
              <w:ind w:left="252"/>
              <w:rPr>
                <w:i/>
                <w:sz w:val="19"/>
              </w:rPr>
            </w:pPr>
          </w:p>
          <w:p w14:paraId="043F671C" w14:textId="77777777" w:rsidR="000A13D9" w:rsidRDefault="000A13D9">
            <w:pPr>
              <w:ind w:left="252"/>
              <w:rPr>
                <w:i/>
                <w:sz w:val="19"/>
              </w:rPr>
            </w:pPr>
          </w:p>
          <w:p w14:paraId="0F635FA3" w14:textId="77777777" w:rsidR="000A13D9" w:rsidRDefault="000A13D9">
            <w:pPr>
              <w:ind w:left="252"/>
              <w:rPr>
                <w:i/>
                <w:sz w:val="19"/>
              </w:rPr>
            </w:pPr>
          </w:p>
          <w:p w14:paraId="7258A81C" w14:textId="77777777" w:rsidR="000A13D9" w:rsidRDefault="000A13D9">
            <w:pPr>
              <w:ind w:left="252"/>
              <w:rPr>
                <w:i/>
                <w:sz w:val="19"/>
              </w:rPr>
            </w:pPr>
          </w:p>
          <w:p w14:paraId="4E362758" w14:textId="77777777" w:rsidR="000A13D9" w:rsidRDefault="000A13D9">
            <w:pPr>
              <w:ind w:left="252"/>
              <w:rPr>
                <w:i/>
                <w:sz w:val="19"/>
              </w:rPr>
            </w:pPr>
          </w:p>
          <w:p w14:paraId="0E902779" w14:textId="77777777" w:rsidR="00F61841" w:rsidRDefault="00F61841">
            <w:pPr>
              <w:ind w:left="252"/>
              <w:rPr>
                <w:i/>
                <w:sz w:val="19"/>
              </w:rPr>
            </w:pPr>
          </w:p>
          <w:p w14:paraId="4B4711E4" w14:textId="77777777" w:rsidR="000A13D9" w:rsidRDefault="000A13D9">
            <w:pPr>
              <w:ind w:left="252"/>
              <w:rPr>
                <w:i/>
                <w:sz w:val="19"/>
              </w:rPr>
            </w:pPr>
          </w:p>
          <w:p w14:paraId="008635DE" w14:textId="2C4F431D" w:rsidR="000A13D9" w:rsidRDefault="000A13D9">
            <w:pPr>
              <w:ind w:left="252"/>
              <w:rPr>
                <w:i/>
                <w:sz w:val="19"/>
              </w:rPr>
            </w:pPr>
          </w:p>
          <w:p w14:paraId="37CD378D" w14:textId="4B67926A" w:rsidR="00E418A4" w:rsidRDefault="00E418A4">
            <w:pPr>
              <w:ind w:left="252"/>
              <w:rPr>
                <w:i/>
                <w:sz w:val="19"/>
              </w:rPr>
            </w:pPr>
          </w:p>
          <w:p w14:paraId="56D8F503" w14:textId="77777777" w:rsidR="00E418A4" w:rsidRDefault="00E418A4">
            <w:pPr>
              <w:ind w:left="252"/>
              <w:rPr>
                <w:i/>
                <w:sz w:val="19"/>
              </w:rPr>
            </w:pPr>
          </w:p>
          <w:p w14:paraId="5C3C62C2" w14:textId="77777777" w:rsidR="00F61841" w:rsidRDefault="00F61841">
            <w:pPr>
              <w:ind w:left="252"/>
              <w:rPr>
                <w:i/>
                <w:sz w:val="19"/>
              </w:rPr>
            </w:pPr>
          </w:p>
          <w:p w14:paraId="13A5912F" w14:textId="77777777" w:rsidR="00F61841" w:rsidRDefault="00F61841">
            <w:pPr>
              <w:ind w:left="252"/>
              <w:rPr>
                <w:i/>
                <w:sz w:val="19"/>
              </w:rPr>
            </w:pPr>
          </w:p>
          <w:p w14:paraId="51BF7058" w14:textId="14F07A85" w:rsidR="00F61841" w:rsidRDefault="00F61841">
            <w:pPr>
              <w:ind w:left="252"/>
              <w:rPr>
                <w:i/>
                <w:sz w:val="19"/>
              </w:rPr>
            </w:pPr>
          </w:p>
        </w:tc>
      </w:tr>
    </w:tbl>
    <w:p w14:paraId="1FF83BA4" w14:textId="62346D48" w:rsidR="00D54D1A" w:rsidRPr="00D54D1A" w:rsidRDefault="00D54D1A" w:rsidP="00D54D1A">
      <w:pPr>
        <w:tabs>
          <w:tab w:val="left" w:pos="1935"/>
        </w:tabs>
      </w:pPr>
    </w:p>
    <w:sectPr w:rsidR="00D54D1A" w:rsidRPr="00D54D1A" w:rsidSect="00E43168">
      <w:pgSz w:w="12240" w:h="15840"/>
      <w:pgMar w:top="432" w:right="720" w:bottom="31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91EAB74"/>
    <w:lvl w:ilvl="0">
      <w:numFmt w:val="decimal"/>
      <w:lvlText w:val="*"/>
      <w:lvlJc w:val="left"/>
    </w:lvl>
  </w:abstractNum>
  <w:abstractNum w:abstractNumId="1" w15:restartNumberingAfterBreak="0">
    <w:nsid w:val="30475486"/>
    <w:multiLevelType w:val="hybridMultilevel"/>
    <w:tmpl w:val="9C88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2252C"/>
    <w:multiLevelType w:val="hybridMultilevel"/>
    <w:tmpl w:val="7E24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50CB9"/>
    <w:multiLevelType w:val="hybridMultilevel"/>
    <w:tmpl w:val="68E2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75284"/>
    <w:multiLevelType w:val="hybridMultilevel"/>
    <w:tmpl w:val="9232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A0BF8"/>
    <w:multiLevelType w:val="hybridMultilevel"/>
    <w:tmpl w:val="D8E6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9D"/>
    <w:rsid w:val="0000117D"/>
    <w:rsid w:val="00002C7A"/>
    <w:rsid w:val="00005FC9"/>
    <w:rsid w:val="00034947"/>
    <w:rsid w:val="00034A35"/>
    <w:rsid w:val="00036692"/>
    <w:rsid w:val="0004254D"/>
    <w:rsid w:val="00083891"/>
    <w:rsid w:val="000903E9"/>
    <w:rsid w:val="000A13D9"/>
    <w:rsid w:val="000C2271"/>
    <w:rsid w:val="000D4138"/>
    <w:rsid w:val="000D69B2"/>
    <w:rsid w:val="000F4C25"/>
    <w:rsid w:val="001145CB"/>
    <w:rsid w:val="00124BA3"/>
    <w:rsid w:val="00131296"/>
    <w:rsid w:val="00135B0D"/>
    <w:rsid w:val="001960B7"/>
    <w:rsid w:val="001A3904"/>
    <w:rsid w:val="001A44E2"/>
    <w:rsid w:val="001B5D57"/>
    <w:rsid w:val="002410C0"/>
    <w:rsid w:val="002539F6"/>
    <w:rsid w:val="0026542C"/>
    <w:rsid w:val="00284C8F"/>
    <w:rsid w:val="002863E0"/>
    <w:rsid w:val="002970F1"/>
    <w:rsid w:val="002A3DD0"/>
    <w:rsid w:val="002A4AC5"/>
    <w:rsid w:val="002E7268"/>
    <w:rsid w:val="00311278"/>
    <w:rsid w:val="00325588"/>
    <w:rsid w:val="0034335A"/>
    <w:rsid w:val="00345015"/>
    <w:rsid w:val="00345076"/>
    <w:rsid w:val="003A776D"/>
    <w:rsid w:val="003D4C0D"/>
    <w:rsid w:val="003E1DDC"/>
    <w:rsid w:val="003F0CEE"/>
    <w:rsid w:val="004374B8"/>
    <w:rsid w:val="00437AA5"/>
    <w:rsid w:val="00487B80"/>
    <w:rsid w:val="004C53CD"/>
    <w:rsid w:val="00514287"/>
    <w:rsid w:val="00551814"/>
    <w:rsid w:val="00564F71"/>
    <w:rsid w:val="0056674F"/>
    <w:rsid w:val="0057241C"/>
    <w:rsid w:val="00610F4A"/>
    <w:rsid w:val="006119EC"/>
    <w:rsid w:val="00624B61"/>
    <w:rsid w:val="006324B8"/>
    <w:rsid w:val="00644147"/>
    <w:rsid w:val="0065350D"/>
    <w:rsid w:val="00677652"/>
    <w:rsid w:val="00694E78"/>
    <w:rsid w:val="006A7A58"/>
    <w:rsid w:val="006B030E"/>
    <w:rsid w:val="006D1078"/>
    <w:rsid w:val="006D34B2"/>
    <w:rsid w:val="007120B3"/>
    <w:rsid w:val="00742C09"/>
    <w:rsid w:val="007523A3"/>
    <w:rsid w:val="007632B1"/>
    <w:rsid w:val="00781D9D"/>
    <w:rsid w:val="007A42C0"/>
    <w:rsid w:val="007C4496"/>
    <w:rsid w:val="007D47F6"/>
    <w:rsid w:val="007E56DB"/>
    <w:rsid w:val="008032B9"/>
    <w:rsid w:val="008736BC"/>
    <w:rsid w:val="00904DA0"/>
    <w:rsid w:val="00912560"/>
    <w:rsid w:val="009403C6"/>
    <w:rsid w:val="00956C46"/>
    <w:rsid w:val="00982DA3"/>
    <w:rsid w:val="009D65AE"/>
    <w:rsid w:val="009F0899"/>
    <w:rsid w:val="00A01206"/>
    <w:rsid w:val="00A22161"/>
    <w:rsid w:val="00A62DFC"/>
    <w:rsid w:val="00A70F77"/>
    <w:rsid w:val="00A85464"/>
    <w:rsid w:val="00A916CD"/>
    <w:rsid w:val="00AB19E5"/>
    <w:rsid w:val="00AB6BD6"/>
    <w:rsid w:val="00AF0165"/>
    <w:rsid w:val="00B037C5"/>
    <w:rsid w:val="00B101A3"/>
    <w:rsid w:val="00B24D46"/>
    <w:rsid w:val="00B56117"/>
    <w:rsid w:val="00B574D2"/>
    <w:rsid w:val="00BA432D"/>
    <w:rsid w:val="00BA6434"/>
    <w:rsid w:val="00BB02E8"/>
    <w:rsid w:val="00BB3237"/>
    <w:rsid w:val="00BC23A2"/>
    <w:rsid w:val="00BD6529"/>
    <w:rsid w:val="00BE18DA"/>
    <w:rsid w:val="00C32C28"/>
    <w:rsid w:val="00C7170A"/>
    <w:rsid w:val="00C90711"/>
    <w:rsid w:val="00CA7C98"/>
    <w:rsid w:val="00CB59CA"/>
    <w:rsid w:val="00CB7FD5"/>
    <w:rsid w:val="00D03107"/>
    <w:rsid w:val="00D21AE6"/>
    <w:rsid w:val="00D25A68"/>
    <w:rsid w:val="00D54D1A"/>
    <w:rsid w:val="00D74909"/>
    <w:rsid w:val="00D82D34"/>
    <w:rsid w:val="00D91E21"/>
    <w:rsid w:val="00DA7F3B"/>
    <w:rsid w:val="00DE2191"/>
    <w:rsid w:val="00E17DF0"/>
    <w:rsid w:val="00E32832"/>
    <w:rsid w:val="00E418A4"/>
    <w:rsid w:val="00E43168"/>
    <w:rsid w:val="00E47919"/>
    <w:rsid w:val="00F61841"/>
    <w:rsid w:val="00F708C2"/>
    <w:rsid w:val="00F92C41"/>
    <w:rsid w:val="00FC4271"/>
    <w:rsid w:val="00FD32A2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57DCB"/>
  <w15:docId w15:val="{FE9BE5F9-E2C8-4D68-9C53-EE7DBC96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16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4374B8"/>
    <w:pPr>
      <w:keepNext/>
      <w:overflowPunct/>
      <w:autoSpaceDE/>
      <w:autoSpaceDN/>
      <w:adjustRightInd/>
      <w:textAlignment w:val="auto"/>
      <w:outlineLvl w:val="1"/>
    </w:pPr>
    <w:rPr>
      <w:rFonts w:cs="Arial"/>
      <w:b/>
      <w:bCs/>
      <w:sz w:val="22"/>
      <w:szCs w:val="24"/>
      <w14:shadow w14:blurRad="0" w14:dist="0" w14:dir="0" w14:sx="0" w14:sy="0" w14:kx="0" w14:ky="0" w14:algn="none">
        <w14:srgbClr w14:val="000000"/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43168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BalloonText">
    <w:name w:val="Balloon Text"/>
    <w:basedOn w:val="Normal"/>
    <w:semiHidden/>
    <w:rsid w:val="00005FC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374B8"/>
    <w:rPr>
      <w:rFonts w:ascii="Arial" w:hAnsi="Arial" w:cs="Arial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BC23A2"/>
    <w:pPr>
      <w:ind w:left="720"/>
      <w:contextualSpacing/>
    </w:pPr>
  </w:style>
  <w:style w:type="paragraph" w:styleId="NoSpacing">
    <w:name w:val="No Spacing"/>
    <w:uiPriority w:val="1"/>
    <w:qFormat/>
    <w:rsid w:val="006119E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ON AGING</vt:lpstr>
    </vt:vector>
  </TitlesOfParts>
  <Company>State of Nevada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ON AGING</dc:title>
  <dc:creator>Authorized Gateway Customer</dc:creator>
  <cp:lastModifiedBy>Kate Lucier</cp:lastModifiedBy>
  <cp:revision>10</cp:revision>
  <cp:lastPrinted>2019-01-11T19:25:00Z</cp:lastPrinted>
  <dcterms:created xsi:type="dcterms:W3CDTF">2019-01-11T18:53:00Z</dcterms:created>
  <dcterms:modified xsi:type="dcterms:W3CDTF">2019-01-11T20:53:00Z</dcterms:modified>
</cp:coreProperties>
</file>