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A6F02A4" w14:textId="77777777" w:rsidR="00640854" w:rsidRDefault="00640854">
      <w:pPr>
        <w:pStyle w:val="Default"/>
        <w:rPr>
          <w:rFonts w:ascii="Times" w:hAnsi="Times"/>
          <w:sz w:val="24"/>
          <w:szCs w:val="24"/>
        </w:rPr>
      </w:pPr>
      <w:bookmarkStart w:id="0" w:name="_GoBack"/>
      <w:bookmarkEnd w:id="0"/>
    </w:p>
    <w:p w14:paraId="78FFEFB1" w14:textId="77777777" w:rsidR="00640854" w:rsidRDefault="00640854">
      <w:pPr>
        <w:pStyle w:val="Default"/>
        <w:rPr>
          <w:rFonts w:ascii="Times" w:hAnsi="Times"/>
          <w:sz w:val="24"/>
          <w:szCs w:val="24"/>
        </w:rPr>
      </w:pPr>
    </w:p>
    <w:p w14:paraId="0D9B3ED5" w14:textId="77777777" w:rsidR="00640854" w:rsidRPr="005903B9" w:rsidRDefault="001F2BCD">
      <w:pPr>
        <w:pStyle w:val="Default"/>
        <w:ind w:hanging="576"/>
        <w:jc w:val="center"/>
        <w:rPr>
          <w:rStyle w:val="Strong"/>
          <w:sz w:val="56"/>
          <w:szCs w:val="56"/>
        </w:rPr>
      </w:pPr>
      <w:r w:rsidRPr="005903B9">
        <w:rPr>
          <w:rStyle w:val="Strong"/>
          <w:sz w:val="56"/>
          <w:szCs w:val="56"/>
        </w:rPr>
        <w:t xml:space="preserve">Task Force on Alzheimer’s Disease </w:t>
      </w:r>
    </w:p>
    <w:p w14:paraId="17C629A7" w14:textId="577CB9FB" w:rsidR="00640854" w:rsidRPr="005903B9" w:rsidRDefault="001F2BCD">
      <w:pPr>
        <w:pStyle w:val="Default"/>
        <w:ind w:hanging="720"/>
        <w:jc w:val="center"/>
        <w:rPr>
          <w:rStyle w:val="Strong"/>
          <w:sz w:val="56"/>
          <w:szCs w:val="56"/>
        </w:rPr>
      </w:pPr>
      <w:r w:rsidRPr="005903B9">
        <w:rPr>
          <w:rStyle w:val="Strong"/>
          <w:sz w:val="56"/>
          <w:szCs w:val="56"/>
        </w:rPr>
        <w:t>Annual Report</w:t>
      </w:r>
    </w:p>
    <w:p w14:paraId="2838AEF5" w14:textId="77777777" w:rsidR="00640854" w:rsidRDefault="00640854">
      <w:pPr>
        <w:pStyle w:val="Default"/>
        <w:rPr>
          <w:rFonts w:ascii="Times New Roman" w:eastAsia="Times New Roman" w:hAnsi="Times New Roman" w:cs="Times New Roman"/>
          <w:sz w:val="24"/>
          <w:szCs w:val="24"/>
        </w:rPr>
      </w:pPr>
    </w:p>
    <w:p w14:paraId="0A1AE08B" w14:textId="77777777" w:rsidR="00CF4C79" w:rsidRDefault="00CF4C79" w:rsidP="00CF4C79">
      <w:pPr>
        <w:pStyle w:val="Default"/>
        <w:jc w:val="center"/>
        <w:rPr>
          <w:rFonts w:ascii="Times New Roman" w:hAnsi="Times New Roman"/>
          <w:b/>
          <w:bCs/>
          <w:sz w:val="32"/>
          <w:szCs w:val="32"/>
        </w:rPr>
      </w:pPr>
    </w:p>
    <w:p w14:paraId="5E8F4A48" w14:textId="232B6A2A" w:rsidR="00CF4C79" w:rsidRDefault="00CF4C79" w:rsidP="00CF4C79">
      <w:pPr>
        <w:pStyle w:val="Default"/>
        <w:ind w:left="1440" w:firstLine="720"/>
        <w:rPr>
          <w:rFonts w:ascii="Times New Roman" w:hAnsi="Times New Roman"/>
          <w:b/>
          <w:bCs/>
          <w:sz w:val="32"/>
          <w:szCs w:val="32"/>
        </w:rPr>
      </w:pPr>
      <w:r>
        <w:rPr>
          <w:rFonts w:ascii="Times New Roman" w:eastAsia="Times New Roman" w:hAnsi="Times New Roman" w:cs="Times New Roman"/>
          <w:noProof/>
          <w:sz w:val="20"/>
          <w:szCs w:val="20"/>
        </w:rPr>
        <w:t xml:space="preserve">                  </w:t>
      </w:r>
      <w:r>
        <w:rPr>
          <w:rFonts w:ascii="Times New Roman" w:eastAsia="Times New Roman" w:hAnsi="Times New Roman" w:cs="Times New Roman"/>
          <w:noProof/>
          <w:sz w:val="20"/>
          <w:szCs w:val="20"/>
        </w:rPr>
        <w:drawing>
          <wp:inline distT="0" distB="0" distL="0" distR="0" wp14:anchorId="3D6DCA4E" wp14:editId="436937D3">
            <wp:extent cx="1906904" cy="1906904"/>
            <wp:effectExtent l="0" t="0" r="0" b="0"/>
            <wp:docPr id="1" name="image1.jpeg"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906904" cy="1906904"/>
                    </a:xfrm>
                    <a:prstGeom prst="rect">
                      <a:avLst/>
                    </a:prstGeom>
                  </pic:spPr>
                </pic:pic>
              </a:graphicData>
            </a:graphic>
          </wp:inline>
        </w:drawing>
      </w:r>
    </w:p>
    <w:p w14:paraId="36C48F47" w14:textId="77777777" w:rsidR="00CF4C79" w:rsidRDefault="00CF4C79" w:rsidP="00CF4C79">
      <w:pPr>
        <w:pStyle w:val="Default"/>
        <w:jc w:val="center"/>
        <w:rPr>
          <w:rFonts w:ascii="Times New Roman" w:hAnsi="Times New Roman"/>
          <w:b/>
          <w:bCs/>
          <w:sz w:val="32"/>
          <w:szCs w:val="32"/>
        </w:rPr>
      </w:pPr>
    </w:p>
    <w:p w14:paraId="20F3B2C6" w14:textId="77777777" w:rsidR="00CF4C79" w:rsidRDefault="00CF4C79" w:rsidP="00CF4C79">
      <w:pPr>
        <w:pStyle w:val="Default"/>
        <w:ind w:left="3600"/>
        <w:rPr>
          <w:rFonts w:ascii="Times New Roman" w:hAnsi="Times New Roman"/>
          <w:b/>
          <w:bCs/>
          <w:sz w:val="32"/>
          <w:szCs w:val="32"/>
        </w:rPr>
      </w:pPr>
    </w:p>
    <w:p w14:paraId="5FB73C62" w14:textId="28DC2BF6" w:rsidR="00640854" w:rsidRPr="00CF4C79" w:rsidRDefault="001F2BCD" w:rsidP="00CF4C79">
      <w:pPr>
        <w:pStyle w:val="Default"/>
        <w:ind w:left="3600"/>
        <w:rPr>
          <w:rFonts w:ascii="Times New Roman" w:eastAsia="Times New Roman" w:hAnsi="Times New Roman" w:cs="Times New Roman"/>
          <w:sz w:val="24"/>
          <w:szCs w:val="24"/>
        </w:rPr>
      </w:pPr>
      <w:r>
        <w:rPr>
          <w:rFonts w:ascii="Times New Roman" w:hAnsi="Times New Roman"/>
          <w:b/>
          <w:bCs/>
          <w:sz w:val="32"/>
          <w:szCs w:val="32"/>
        </w:rPr>
        <w:t>January 20</w:t>
      </w:r>
      <w:r w:rsidR="00FF6C37">
        <w:rPr>
          <w:rFonts w:ascii="Times New Roman" w:hAnsi="Times New Roman"/>
          <w:b/>
          <w:bCs/>
          <w:sz w:val="32"/>
          <w:szCs w:val="32"/>
        </w:rPr>
        <w:t>20</w:t>
      </w:r>
    </w:p>
    <w:p w14:paraId="2599B383" w14:textId="4B3CBB09" w:rsidR="00CF4C79" w:rsidRDefault="00CF4C79" w:rsidP="006E7369">
      <w:r>
        <w:t xml:space="preserve">                                             </w:t>
      </w:r>
    </w:p>
    <w:p w14:paraId="139469C0" w14:textId="5626B279" w:rsidR="00640854" w:rsidRDefault="001F2BCD" w:rsidP="00CF4C79">
      <w:pPr>
        <w:pStyle w:val="Default"/>
        <w:ind w:left="2880" w:firstLine="720"/>
        <w:rPr>
          <w:rFonts w:ascii="Times New Roman" w:eastAsia="Times New Roman" w:hAnsi="Times New Roman" w:cs="Times New Roman"/>
          <w:b/>
          <w:bCs/>
          <w:sz w:val="32"/>
          <w:szCs w:val="32"/>
        </w:rPr>
      </w:pPr>
      <w:r>
        <w:rPr>
          <w:rFonts w:ascii="Times New Roman" w:hAnsi="Times New Roman"/>
          <w:b/>
          <w:bCs/>
          <w:sz w:val="32"/>
          <w:szCs w:val="32"/>
        </w:rPr>
        <w:t xml:space="preserve">Submitted by: </w:t>
      </w:r>
    </w:p>
    <w:p w14:paraId="4D27D381" w14:textId="77777777" w:rsidR="006E7369" w:rsidRDefault="001F2BCD" w:rsidP="006E7369">
      <w:pPr>
        <w:pStyle w:val="Default"/>
        <w:spacing w:after="0"/>
        <w:jc w:val="center"/>
        <w:rPr>
          <w:rFonts w:ascii="Times New Roman" w:hAnsi="Times New Roman"/>
          <w:b/>
          <w:bCs/>
          <w:sz w:val="32"/>
          <w:szCs w:val="32"/>
        </w:rPr>
      </w:pPr>
      <w:r>
        <w:rPr>
          <w:rFonts w:ascii="Times New Roman" w:hAnsi="Times New Roman"/>
          <w:b/>
          <w:bCs/>
          <w:sz w:val="32"/>
          <w:szCs w:val="32"/>
        </w:rPr>
        <w:t>Department of Health and Human Services</w:t>
      </w:r>
    </w:p>
    <w:p w14:paraId="50BF15C2" w14:textId="594F2ABF" w:rsidR="00640854" w:rsidRDefault="001F2BCD" w:rsidP="006E7369">
      <w:pPr>
        <w:pStyle w:val="Default"/>
        <w:spacing w:after="0"/>
        <w:jc w:val="center"/>
        <w:rPr>
          <w:rFonts w:ascii="Times New Roman" w:eastAsia="Times New Roman" w:hAnsi="Times New Roman" w:cs="Times New Roman"/>
          <w:sz w:val="24"/>
          <w:szCs w:val="24"/>
        </w:rPr>
      </w:pPr>
      <w:r>
        <w:rPr>
          <w:rFonts w:ascii="Times New Roman" w:hAnsi="Times New Roman"/>
          <w:b/>
          <w:bCs/>
          <w:sz w:val="32"/>
          <w:szCs w:val="32"/>
        </w:rPr>
        <w:t xml:space="preserve"> Task Force on Alzheimer’s Disease</w:t>
      </w:r>
    </w:p>
    <w:p w14:paraId="4DB283F3" w14:textId="77777777" w:rsidR="00640854" w:rsidRDefault="00640854" w:rsidP="006E7369">
      <w:pPr>
        <w:pStyle w:val="Default"/>
        <w:spacing w:after="0"/>
        <w:rPr>
          <w:rFonts w:ascii="Times New Roman" w:eastAsia="Times New Roman" w:hAnsi="Times New Roman" w:cs="Times New Roman"/>
          <w:sz w:val="24"/>
          <w:szCs w:val="24"/>
        </w:rPr>
      </w:pPr>
    </w:p>
    <w:p w14:paraId="547CDE43" w14:textId="77777777" w:rsidR="00640854" w:rsidRDefault="001F2BCD" w:rsidP="006E7369">
      <w:pPr>
        <w:pStyle w:val="Default"/>
        <w:spacing w:after="0"/>
        <w:rPr>
          <w:rFonts w:ascii="Times New Roman" w:eastAsia="Times New Roman" w:hAnsi="Times New Roman" w:cs="Times New Roman"/>
          <w:sz w:val="24"/>
          <w:szCs w:val="24"/>
        </w:rPr>
      </w:pPr>
      <w:r>
        <w:rPr>
          <w:rFonts w:ascii="Times New Roman" w:hAnsi="Times New Roman"/>
          <w:sz w:val="24"/>
          <w:szCs w:val="24"/>
        </w:rPr>
        <w:t>(Assembly Bill No. 80, Committee on Health and Human Services, Statutes of Nevada 2013)</w:t>
      </w:r>
    </w:p>
    <w:p w14:paraId="55679A23" w14:textId="77777777" w:rsidR="00640854" w:rsidRDefault="001F2BCD" w:rsidP="006E7369">
      <w:pPr>
        <w:pStyle w:val="Default"/>
        <w:spacing w:after="0"/>
        <w:rPr>
          <w:rFonts w:ascii="Times New Roman" w:eastAsia="Times New Roman" w:hAnsi="Times New Roman" w:cs="Times New Roman"/>
          <w:sz w:val="24"/>
          <w:szCs w:val="24"/>
        </w:rPr>
      </w:pPr>
      <w:r>
        <w:rPr>
          <w:rFonts w:ascii="Times New Roman" w:hAnsi="Times New Roman"/>
          <w:sz w:val="24"/>
          <w:szCs w:val="24"/>
        </w:rPr>
        <w:t>(Senate Bill No. 92, Committee on Health and Human Services, State of Nevada, 2017)</w:t>
      </w:r>
    </w:p>
    <w:p w14:paraId="02911CD7"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 </w:t>
      </w:r>
    </w:p>
    <w:p w14:paraId="54B57AAD" w14:textId="77777777" w:rsidR="00640854" w:rsidRDefault="00640854">
      <w:pPr>
        <w:pStyle w:val="Default"/>
        <w:ind w:hanging="576"/>
        <w:jc w:val="center"/>
        <w:rPr>
          <w:rFonts w:ascii="Times New Roman" w:eastAsia="Times New Roman" w:hAnsi="Times New Roman" w:cs="Times New Roman"/>
          <w:b/>
          <w:bCs/>
          <w:sz w:val="28"/>
          <w:szCs w:val="28"/>
        </w:rPr>
      </w:pPr>
    </w:p>
    <w:p w14:paraId="51301F6E" w14:textId="77777777" w:rsidR="00640854" w:rsidRDefault="00640854">
      <w:pPr>
        <w:pStyle w:val="Default"/>
        <w:ind w:hanging="576"/>
        <w:jc w:val="center"/>
        <w:rPr>
          <w:rFonts w:ascii="Times New Roman" w:eastAsia="Times New Roman" w:hAnsi="Times New Roman" w:cs="Times New Roman"/>
          <w:b/>
          <w:bCs/>
          <w:sz w:val="28"/>
          <w:szCs w:val="28"/>
        </w:rPr>
      </w:pPr>
    </w:p>
    <w:p w14:paraId="7D133291" w14:textId="77777777" w:rsidR="00834561" w:rsidRDefault="00834561">
      <w:pPr>
        <w:pStyle w:val="Default"/>
        <w:ind w:hanging="576"/>
        <w:jc w:val="center"/>
        <w:rPr>
          <w:rFonts w:ascii="Times New Roman" w:hAnsi="Times New Roman"/>
          <w:b/>
          <w:bCs/>
          <w:sz w:val="28"/>
          <w:szCs w:val="28"/>
        </w:rPr>
      </w:pPr>
    </w:p>
    <w:p w14:paraId="3E329DF8" w14:textId="4BBBC220" w:rsidR="00640854" w:rsidRDefault="001F2BCD">
      <w:pPr>
        <w:pStyle w:val="Default"/>
        <w:ind w:hanging="576"/>
        <w:jc w:val="center"/>
        <w:rPr>
          <w:rFonts w:ascii="Times New Roman" w:eastAsia="Times New Roman" w:hAnsi="Times New Roman" w:cs="Times New Roman"/>
          <w:b/>
          <w:bCs/>
          <w:sz w:val="28"/>
          <w:szCs w:val="28"/>
        </w:rPr>
      </w:pPr>
      <w:r>
        <w:rPr>
          <w:rFonts w:ascii="Times New Roman" w:hAnsi="Times New Roman"/>
          <w:b/>
          <w:bCs/>
          <w:sz w:val="28"/>
          <w:szCs w:val="28"/>
        </w:rPr>
        <w:t>Task Force on Alzheimer’s Disease</w:t>
      </w:r>
    </w:p>
    <w:p w14:paraId="6E366F84" w14:textId="77777777" w:rsidR="00834561" w:rsidRDefault="00834561">
      <w:pPr>
        <w:pStyle w:val="Default"/>
        <w:ind w:hanging="576"/>
        <w:rPr>
          <w:rFonts w:ascii="Times New Roman" w:eastAsia="Times New Roman" w:hAnsi="Times New Roman" w:cs="Times New Roman"/>
          <w:b/>
          <w:bCs/>
          <w:sz w:val="24"/>
          <w:szCs w:val="24"/>
        </w:rPr>
      </w:pPr>
    </w:p>
    <w:p w14:paraId="064FFF57" w14:textId="77777777" w:rsidR="001F2BCD" w:rsidRDefault="001F2BCD">
      <w:pPr>
        <w:pStyle w:val="Default"/>
        <w:tabs>
          <w:tab w:val="left" w:pos="2340"/>
        </w:tabs>
        <w:ind w:left="1170" w:right="108" w:hanging="450"/>
        <w:jc w:val="both"/>
        <w:rPr>
          <w:rFonts w:ascii="Times New Roman" w:hAnsi="Times New Roman"/>
          <w:sz w:val="24"/>
          <w:szCs w:val="24"/>
        </w:rPr>
      </w:pPr>
    </w:p>
    <w:p w14:paraId="5CDC9834" w14:textId="3E465318" w:rsidR="00B47867" w:rsidRDefault="001F2BCD">
      <w:pPr>
        <w:pStyle w:val="Default"/>
        <w:tabs>
          <w:tab w:val="left" w:pos="2340"/>
        </w:tabs>
        <w:ind w:left="1170" w:right="108" w:hanging="450"/>
        <w:jc w:val="both"/>
        <w:rPr>
          <w:rFonts w:ascii="Times New Roman" w:hAnsi="Times New Roman"/>
          <w:sz w:val="24"/>
          <w:szCs w:val="24"/>
        </w:rPr>
      </w:pPr>
      <w:r>
        <w:rPr>
          <w:rFonts w:ascii="Times New Roman" w:hAnsi="Times New Roman"/>
          <w:sz w:val="24"/>
          <w:szCs w:val="24"/>
        </w:rPr>
        <w:t xml:space="preserve">Peter Reed, Ph.D., </w:t>
      </w:r>
      <w:r w:rsidR="00253A78">
        <w:rPr>
          <w:rFonts w:ascii="Times New Roman" w:hAnsi="Times New Roman"/>
          <w:sz w:val="24"/>
          <w:szCs w:val="24"/>
        </w:rPr>
        <w:t xml:space="preserve">Vice Chair </w:t>
      </w:r>
      <w:r w:rsidR="00FF6C37">
        <w:rPr>
          <w:rFonts w:ascii="Times New Roman" w:hAnsi="Times New Roman"/>
          <w:sz w:val="24"/>
          <w:szCs w:val="24"/>
        </w:rPr>
        <w:t xml:space="preserve"> (Chair: July – </w:t>
      </w:r>
      <w:r w:rsidR="00CE31AA">
        <w:rPr>
          <w:rFonts w:ascii="Times New Roman" w:hAnsi="Times New Roman"/>
          <w:sz w:val="24"/>
          <w:szCs w:val="24"/>
        </w:rPr>
        <w:t>December</w:t>
      </w:r>
      <w:r w:rsidR="00FF6C37">
        <w:rPr>
          <w:rFonts w:ascii="Times New Roman" w:hAnsi="Times New Roman"/>
          <w:sz w:val="24"/>
          <w:szCs w:val="24"/>
        </w:rPr>
        <w:t xml:space="preserve"> 2019)</w:t>
      </w:r>
    </w:p>
    <w:p w14:paraId="46034EEC" w14:textId="7C4D52F0" w:rsidR="00640854" w:rsidRDefault="001F2BCD">
      <w:pPr>
        <w:pStyle w:val="Default"/>
        <w:tabs>
          <w:tab w:val="left" w:pos="2340"/>
        </w:tabs>
        <w:ind w:left="1170" w:right="108" w:hanging="450"/>
        <w:jc w:val="both"/>
        <w:rPr>
          <w:rFonts w:ascii="Times New Roman" w:hAnsi="Times New Roman"/>
          <w:sz w:val="24"/>
          <w:szCs w:val="24"/>
        </w:rPr>
      </w:pPr>
      <w:r>
        <w:rPr>
          <w:rFonts w:ascii="Times New Roman" w:hAnsi="Times New Roman"/>
          <w:sz w:val="24"/>
          <w:szCs w:val="24"/>
        </w:rPr>
        <w:t>Director, Sanford Center for Aging, University of Nevada</w:t>
      </w:r>
    </w:p>
    <w:p w14:paraId="3D73CDFA" w14:textId="1EB1D55A" w:rsidR="0091606F" w:rsidRDefault="0091606F">
      <w:pPr>
        <w:pStyle w:val="Default"/>
        <w:tabs>
          <w:tab w:val="left" w:pos="2340"/>
        </w:tabs>
        <w:ind w:left="1170" w:right="108" w:hanging="450"/>
        <w:jc w:val="both"/>
        <w:rPr>
          <w:rFonts w:ascii="Times New Roman" w:hAnsi="Times New Roman"/>
          <w:sz w:val="24"/>
          <w:szCs w:val="24"/>
        </w:rPr>
      </w:pPr>
    </w:p>
    <w:p w14:paraId="23402E3C" w14:textId="77777777" w:rsidR="0091606F" w:rsidRDefault="0091606F" w:rsidP="0091606F">
      <w:pPr>
        <w:pStyle w:val="Default"/>
        <w:ind w:right="108" w:firstLine="720"/>
        <w:jc w:val="both"/>
        <w:rPr>
          <w:rFonts w:ascii="Times New Roman" w:hAnsi="Times New Roman" w:cs="Times New Roman"/>
          <w:sz w:val="24"/>
          <w:szCs w:val="24"/>
        </w:rPr>
      </w:pPr>
      <w:r>
        <w:rPr>
          <w:rFonts w:ascii="Times New Roman" w:hAnsi="Times New Roman" w:cs="Times New Roman"/>
          <w:sz w:val="24"/>
          <w:szCs w:val="24"/>
          <w:u w:color="000000"/>
        </w:rPr>
        <w:t>Tina Dortch, Vice Chair</w:t>
      </w:r>
      <w:r w:rsidRPr="00A43E4E">
        <w:rPr>
          <w:rFonts w:ascii="Times New Roman" w:hAnsi="Times New Roman" w:cs="Times New Roman"/>
          <w:sz w:val="24"/>
          <w:szCs w:val="24"/>
        </w:rPr>
        <w:t xml:space="preserve">, </w:t>
      </w:r>
    </w:p>
    <w:p w14:paraId="264D2E83" w14:textId="75C69CB8" w:rsidR="0091606F" w:rsidRPr="00A43E4E" w:rsidRDefault="0091606F" w:rsidP="0091606F">
      <w:pPr>
        <w:pStyle w:val="Default"/>
        <w:ind w:right="108" w:firstLine="720"/>
        <w:jc w:val="both"/>
        <w:rPr>
          <w:rFonts w:ascii="Times New Roman" w:hAnsi="Times New Roman" w:cs="Times New Roman"/>
          <w:sz w:val="24"/>
          <w:szCs w:val="24"/>
        </w:rPr>
      </w:pPr>
      <w:r>
        <w:rPr>
          <w:rFonts w:ascii="Times New Roman" w:hAnsi="Times New Roman" w:cs="Times New Roman"/>
          <w:sz w:val="24"/>
          <w:szCs w:val="24"/>
        </w:rPr>
        <w:t xml:space="preserve">Office of Minority Health and Equity, Program Manager, Nevada Department of Health </w:t>
      </w:r>
      <w:r>
        <w:rPr>
          <w:rFonts w:ascii="Times New Roman" w:hAnsi="Times New Roman" w:cs="Times New Roman"/>
          <w:sz w:val="24"/>
          <w:szCs w:val="24"/>
        </w:rPr>
        <w:tab/>
        <w:t>and Human Services</w:t>
      </w:r>
    </w:p>
    <w:p w14:paraId="275295E5" w14:textId="77777777" w:rsidR="0091606F" w:rsidRDefault="0091606F">
      <w:pPr>
        <w:pStyle w:val="Default"/>
        <w:tabs>
          <w:tab w:val="left" w:pos="2340"/>
        </w:tabs>
        <w:ind w:left="1170" w:right="108" w:hanging="450"/>
        <w:jc w:val="both"/>
        <w:rPr>
          <w:rFonts w:ascii="Times New Roman" w:hAnsi="Times New Roman"/>
          <w:sz w:val="24"/>
          <w:szCs w:val="24"/>
        </w:rPr>
      </w:pPr>
    </w:p>
    <w:p w14:paraId="437A15E8" w14:textId="3DA72F9C" w:rsidR="00253A78" w:rsidRDefault="00253A78">
      <w:pPr>
        <w:pStyle w:val="Default"/>
        <w:tabs>
          <w:tab w:val="left" w:pos="2340"/>
        </w:tabs>
        <w:ind w:left="1170" w:right="108" w:hanging="450"/>
        <w:jc w:val="both"/>
        <w:rPr>
          <w:rFonts w:ascii="Times" w:eastAsia="Times" w:hAnsi="Times" w:cs="Times"/>
          <w:sz w:val="24"/>
          <w:szCs w:val="24"/>
        </w:rPr>
      </w:pPr>
    </w:p>
    <w:p w14:paraId="4018C567" w14:textId="4104720A" w:rsidR="00640854" w:rsidRDefault="00253A78" w:rsidP="00AD5EBE">
      <w:pPr>
        <w:pStyle w:val="Default"/>
        <w:tabs>
          <w:tab w:val="left" w:pos="2340"/>
        </w:tabs>
        <w:ind w:left="1170" w:right="108" w:hanging="450"/>
        <w:jc w:val="both"/>
        <w:rPr>
          <w:rFonts w:ascii="Times" w:eastAsia="Times" w:hAnsi="Times" w:cs="Times"/>
          <w:u w:val="single"/>
        </w:rPr>
      </w:pPr>
      <w:commentRangeStart w:id="1"/>
      <w:r w:rsidRPr="00AD5EBE">
        <w:rPr>
          <w:rFonts w:ascii="Times" w:eastAsia="Times" w:hAnsi="Times" w:cs="Times"/>
          <w:u w:val="single"/>
        </w:rPr>
        <w:t>Members</w:t>
      </w:r>
      <w:commentRangeEnd w:id="1"/>
      <w:r w:rsidR="00FF6C37">
        <w:rPr>
          <w:rStyle w:val="CommentReference"/>
          <w:rFonts w:ascii="Times New Roman" w:hAnsi="Times New Roman" w:cs="Times New Roman"/>
          <w:color w:val="auto"/>
        </w:rPr>
        <w:commentReference w:id="1"/>
      </w:r>
    </w:p>
    <w:p w14:paraId="6297D18E" w14:textId="77777777" w:rsidR="0091606F" w:rsidRDefault="0091606F" w:rsidP="00AD5EBE">
      <w:pPr>
        <w:pStyle w:val="Default"/>
        <w:tabs>
          <w:tab w:val="left" w:pos="2340"/>
        </w:tabs>
        <w:ind w:left="1170" w:right="108" w:hanging="450"/>
        <w:jc w:val="both"/>
        <w:rPr>
          <w:rFonts w:ascii="Times New Roman" w:eastAsia="Times New Roman" w:hAnsi="Times New Roman" w:cs="Times New Roman"/>
          <w:sz w:val="24"/>
          <w:szCs w:val="24"/>
        </w:rPr>
      </w:pPr>
    </w:p>
    <w:p w14:paraId="6A8C9244" w14:textId="7CF6AA0B" w:rsidR="0091606F" w:rsidRDefault="0091606F" w:rsidP="0091606F">
      <w:pPr>
        <w:pStyle w:val="Default"/>
        <w:ind w:right="108" w:firstLine="720"/>
        <w:jc w:val="both"/>
        <w:rPr>
          <w:rFonts w:ascii="Times New Roman" w:hAnsi="Times New Roman"/>
          <w:sz w:val="24"/>
          <w:szCs w:val="24"/>
        </w:rPr>
      </w:pPr>
      <w:r>
        <w:rPr>
          <w:rFonts w:ascii="Times New Roman" w:hAnsi="Times New Roman"/>
          <w:sz w:val="24"/>
          <w:szCs w:val="24"/>
        </w:rPr>
        <w:t>Senator Valerie Wiener (Ret.),</w:t>
      </w:r>
    </w:p>
    <w:p w14:paraId="2DD43510" w14:textId="77777777" w:rsidR="0091606F" w:rsidRDefault="0091606F" w:rsidP="0091606F">
      <w:pPr>
        <w:pStyle w:val="Default"/>
        <w:ind w:right="108" w:firstLine="720"/>
        <w:jc w:val="both"/>
        <w:rPr>
          <w:rFonts w:ascii="Times" w:eastAsia="Times" w:hAnsi="Times" w:cs="Times"/>
          <w:sz w:val="24"/>
          <w:szCs w:val="24"/>
        </w:rPr>
      </w:pPr>
      <w:r>
        <w:rPr>
          <w:rFonts w:ascii="Times New Roman" w:hAnsi="Times New Roman"/>
          <w:sz w:val="24"/>
          <w:szCs w:val="24"/>
        </w:rPr>
        <w:t xml:space="preserve">Founder and President, </w:t>
      </w:r>
      <w:proofErr w:type="spellStart"/>
      <w:r>
        <w:rPr>
          <w:rFonts w:ascii="Times New Roman" w:hAnsi="Times New Roman"/>
          <w:sz w:val="24"/>
          <w:szCs w:val="24"/>
        </w:rPr>
        <w:t>PublicServiceNV</w:t>
      </w:r>
      <w:proofErr w:type="spellEnd"/>
    </w:p>
    <w:p w14:paraId="1159C594" w14:textId="77777777" w:rsidR="001F2BCD" w:rsidRDefault="001F2BCD">
      <w:pPr>
        <w:pStyle w:val="Default"/>
        <w:ind w:right="108" w:firstLine="720"/>
        <w:jc w:val="both"/>
        <w:rPr>
          <w:rFonts w:ascii="Times New Roman" w:hAnsi="Times New Roman"/>
          <w:sz w:val="24"/>
          <w:szCs w:val="24"/>
          <w:lang w:val="it-IT"/>
        </w:rPr>
      </w:pPr>
    </w:p>
    <w:p w14:paraId="75E2563E" w14:textId="2B607C77" w:rsidR="009247AE" w:rsidRPr="009247AE" w:rsidRDefault="00CE31AA" w:rsidP="009247AE">
      <w:pPr>
        <w:pStyle w:val="Default"/>
        <w:ind w:left="1170" w:right="108" w:hanging="450"/>
        <w:jc w:val="both"/>
        <w:rPr>
          <w:rFonts w:ascii="Times New Roman" w:hAnsi="Times New Roman" w:cs="Times New Roman"/>
          <w:sz w:val="24"/>
          <w:szCs w:val="24"/>
        </w:rPr>
      </w:pPr>
      <w:r>
        <w:rPr>
          <w:rFonts w:ascii="Times New Roman" w:hAnsi="Times New Roman" w:cs="Times New Roman"/>
          <w:sz w:val="24"/>
          <w:szCs w:val="24"/>
        </w:rPr>
        <w:t>Marwan Sabbagh, MD</w:t>
      </w:r>
      <w:r w:rsidR="0091606F">
        <w:rPr>
          <w:rFonts w:ascii="Times New Roman" w:hAnsi="Times New Roman" w:cs="Times New Roman"/>
          <w:sz w:val="24"/>
          <w:szCs w:val="24"/>
        </w:rPr>
        <w:t>,</w:t>
      </w:r>
    </w:p>
    <w:p w14:paraId="07137C84" w14:textId="77777777" w:rsidR="009247AE" w:rsidRPr="00A43E4E" w:rsidRDefault="009247AE" w:rsidP="009247AE">
      <w:pPr>
        <w:pStyle w:val="Default"/>
        <w:ind w:left="1170" w:right="108" w:hanging="450"/>
        <w:jc w:val="both"/>
        <w:rPr>
          <w:rFonts w:ascii="Times New Roman" w:eastAsia="Times" w:hAnsi="Times New Roman" w:cs="Times New Roman"/>
          <w:sz w:val="24"/>
          <w:szCs w:val="24"/>
        </w:rPr>
      </w:pPr>
      <w:r w:rsidRPr="009247AE">
        <w:rPr>
          <w:rFonts w:ascii="Times New Roman" w:hAnsi="Times New Roman" w:cs="Times New Roman"/>
          <w:sz w:val="24"/>
          <w:szCs w:val="24"/>
        </w:rPr>
        <w:t xml:space="preserve">Cleveland Clinic Lou </w:t>
      </w:r>
      <w:proofErr w:type="spellStart"/>
      <w:r w:rsidRPr="009247AE">
        <w:rPr>
          <w:rFonts w:ascii="Times New Roman" w:hAnsi="Times New Roman" w:cs="Times New Roman"/>
          <w:sz w:val="24"/>
          <w:szCs w:val="24"/>
        </w:rPr>
        <w:t>Ruvo</w:t>
      </w:r>
      <w:proofErr w:type="spellEnd"/>
      <w:r w:rsidRPr="009247AE">
        <w:rPr>
          <w:rFonts w:ascii="Times New Roman" w:hAnsi="Times New Roman" w:cs="Times New Roman"/>
          <w:sz w:val="24"/>
          <w:szCs w:val="24"/>
        </w:rPr>
        <w:t xml:space="preserve"> Center for Brain Health</w:t>
      </w:r>
    </w:p>
    <w:p w14:paraId="39E1A998" w14:textId="77777777" w:rsidR="009247AE" w:rsidRDefault="009247AE" w:rsidP="009247AE">
      <w:pPr>
        <w:pStyle w:val="Default"/>
        <w:ind w:left="1170" w:right="720" w:hanging="450"/>
        <w:jc w:val="both"/>
        <w:rPr>
          <w:rFonts w:ascii="Times New Roman" w:hAnsi="Times New Roman" w:cs="Times New Roman"/>
          <w:sz w:val="24"/>
          <w:szCs w:val="24"/>
          <w:u w:color="000000"/>
        </w:rPr>
      </w:pPr>
    </w:p>
    <w:p w14:paraId="3BFD8B58" w14:textId="119C8E53" w:rsidR="00640854" w:rsidRPr="00716A46" w:rsidRDefault="001F2BCD">
      <w:pPr>
        <w:pStyle w:val="Default"/>
        <w:ind w:right="108" w:firstLine="720"/>
        <w:jc w:val="both"/>
        <w:rPr>
          <w:rFonts w:ascii="Times New Roman" w:eastAsia="Times New Roman" w:hAnsi="Times New Roman" w:cs="Times New Roman"/>
          <w:sz w:val="24"/>
          <w:szCs w:val="24"/>
        </w:rPr>
      </w:pPr>
      <w:r w:rsidRPr="009247AE">
        <w:rPr>
          <w:rFonts w:ascii="Times New Roman" w:hAnsi="Times New Roman" w:cs="Times New Roman"/>
          <w:sz w:val="24"/>
          <w:szCs w:val="24"/>
          <w:lang w:val="it-IT"/>
        </w:rPr>
        <w:t>Assembly</w:t>
      </w:r>
      <w:r w:rsidRPr="00AD5EBE">
        <w:rPr>
          <w:rFonts w:ascii="Times New Roman" w:hAnsi="Times New Roman" w:cs="Times New Roman"/>
          <w:sz w:val="24"/>
          <w:szCs w:val="24"/>
        </w:rPr>
        <w:t>woman Lesley Cohen</w:t>
      </w:r>
      <w:r w:rsidR="00253A78" w:rsidRPr="00AD5EBE">
        <w:rPr>
          <w:rFonts w:ascii="Times New Roman" w:hAnsi="Times New Roman" w:cs="Times New Roman"/>
          <w:sz w:val="24"/>
          <w:szCs w:val="24"/>
        </w:rPr>
        <w:t>, Nevada State Legislature</w:t>
      </w:r>
    </w:p>
    <w:p w14:paraId="62A295A1" w14:textId="77777777" w:rsidR="009247AE" w:rsidRDefault="001F2BCD" w:rsidP="009247AE">
      <w:pPr>
        <w:pStyle w:val="Default"/>
        <w:ind w:firstLine="720"/>
        <w:rPr>
          <w:rFonts w:ascii="Times New Roman" w:eastAsia="Times" w:hAnsi="Times New Roman" w:cs="Times New Roman"/>
        </w:rPr>
      </w:pPr>
      <w:r w:rsidRPr="00AD5EBE">
        <w:rPr>
          <w:rFonts w:ascii="Times New Roman" w:eastAsia="Times" w:hAnsi="Times New Roman" w:cs="Times New Roman"/>
        </w:rPr>
        <w:tab/>
      </w:r>
    </w:p>
    <w:p w14:paraId="16459E23" w14:textId="07D07198" w:rsidR="009247AE" w:rsidRPr="00716A46" w:rsidRDefault="009247AE" w:rsidP="009247AE">
      <w:pPr>
        <w:pStyle w:val="Default"/>
        <w:ind w:firstLine="720"/>
        <w:rPr>
          <w:rFonts w:ascii="Times New Roman" w:eastAsia="Times New Roman" w:hAnsi="Times New Roman" w:cs="Times New Roman"/>
          <w:sz w:val="24"/>
          <w:szCs w:val="24"/>
        </w:rPr>
      </w:pPr>
      <w:r w:rsidRPr="00A43E4E">
        <w:rPr>
          <w:rFonts w:ascii="Times New Roman" w:hAnsi="Times New Roman" w:cs="Times New Roman"/>
          <w:sz w:val="24"/>
          <w:szCs w:val="24"/>
        </w:rPr>
        <w:lastRenderedPageBreak/>
        <w:t xml:space="preserve">Virginia (Gini) L. Cunningham, M.Ed., Volunteer and Support Group Facilitator, </w:t>
      </w:r>
      <w:r w:rsidRPr="00716A46">
        <w:rPr>
          <w:rFonts w:ascii="Times New Roman" w:eastAsia="Times New Roman" w:hAnsi="Times New Roman" w:cs="Times New Roman"/>
          <w:sz w:val="24"/>
          <w:szCs w:val="24"/>
        </w:rPr>
        <w:tab/>
      </w:r>
      <w:r w:rsidRPr="00716A46">
        <w:rPr>
          <w:rFonts w:ascii="Times New Roman" w:eastAsia="Times New Roman" w:hAnsi="Times New Roman" w:cs="Times New Roman"/>
          <w:sz w:val="24"/>
          <w:szCs w:val="24"/>
        </w:rPr>
        <w:tab/>
      </w:r>
      <w:r w:rsidRPr="00A43E4E">
        <w:rPr>
          <w:rFonts w:ascii="Times New Roman" w:hAnsi="Times New Roman" w:cs="Times New Roman"/>
          <w:sz w:val="24"/>
          <w:szCs w:val="24"/>
        </w:rPr>
        <w:t>Humboldt Volunteer Hospice and Alzheimer’s Association in Northern Nevada</w:t>
      </w:r>
    </w:p>
    <w:p w14:paraId="46C3041E" w14:textId="77777777" w:rsidR="001F2BCD" w:rsidRPr="00AD5EBE" w:rsidRDefault="001F2BCD" w:rsidP="00AD5EBE">
      <w:pPr>
        <w:pStyle w:val="Default"/>
        <w:rPr>
          <w:rFonts w:ascii="Times New Roman" w:hAnsi="Times New Roman" w:cs="Times New Roman"/>
          <w:sz w:val="24"/>
          <w:szCs w:val="24"/>
        </w:rPr>
      </w:pPr>
    </w:p>
    <w:p w14:paraId="559584FB" w14:textId="5E95D671" w:rsidR="009247AE" w:rsidRPr="00716A46" w:rsidRDefault="009247AE" w:rsidP="009247AE">
      <w:pPr>
        <w:pStyle w:val="Default"/>
        <w:ind w:left="720" w:right="108"/>
        <w:jc w:val="both"/>
        <w:rPr>
          <w:rFonts w:ascii="Times New Roman" w:eastAsia="Times New Roman" w:hAnsi="Times New Roman" w:cs="Times New Roman"/>
          <w:sz w:val="24"/>
          <w:szCs w:val="24"/>
        </w:rPr>
      </w:pPr>
      <w:r w:rsidRPr="00A43E4E">
        <w:rPr>
          <w:rFonts w:ascii="Times New Roman" w:hAnsi="Times New Roman" w:cs="Times New Roman"/>
          <w:sz w:val="24"/>
          <w:szCs w:val="24"/>
          <w:lang w:val="it-IT"/>
        </w:rPr>
        <w:t xml:space="preserve">Senator </w:t>
      </w:r>
      <w:r w:rsidR="0091606F">
        <w:rPr>
          <w:rFonts w:ascii="Times New Roman" w:hAnsi="Times New Roman" w:cs="Times New Roman"/>
          <w:sz w:val="24"/>
          <w:szCs w:val="24"/>
          <w:lang w:val="it-IT"/>
        </w:rPr>
        <w:t>Joyce Woodhouse</w:t>
      </w:r>
      <w:r w:rsidRPr="00A43E4E">
        <w:rPr>
          <w:rFonts w:ascii="Times New Roman" w:hAnsi="Times New Roman" w:cs="Times New Roman"/>
          <w:sz w:val="24"/>
          <w:szCs w:val="24"/>
          <w:lang w:val="it-IT"/>
        </w:rPr>
        <w:t>, Nevada State Legislature</w:t>
      </w:r>
    </w:p>
    <w:p w14:paraId="49CAD06A" w14:textId="77777777" w:rsidR="001F2BCD" w:rsidRPr="00AD5EBE" w:rsidRDefault="001F2BCD" w:rsidP="001F2BCD">
      <w:pPr>
        <w:pStyle w:val="Default"/>
        <w:ind w:right="108" w:firstLine="720"/>
        <w:jc w:val="both"/>
        <w:rPr>
          <w:rFonts w:ascii="Times New Roman" w:hAnsi="Times New Roman" w:cs="Times New Roman"/>
          <w:sz w:val="24"/>
          <w:szCs w:val="24"/>
        </w:rPr>
      </w:pPr>
    </w:p>
    <w:p w14:paraId="04AA50B2" w14:textId="3B2A9411" w:rsidR="00640854" w:rsidRPr="00AD5EBE" w:rsidRDefault="0091606F" w:rsidP="001F2BCD">
      <w:pPr>
        <w:pStyle w:val="Default"/>
        <w:ind w:right="108" w:firstLine="720"/>
        <w:jc w:val="both"/>
        <w:rPr>
          <w:rFonts w:ascii="Times New Roman" w:eastAsia="Times" w:hAnsi="Times New Roman" w:cs="Times New Roman"/>
          <w:i/>
          <w:iCs/>
          <w:sz w:val="24"/>
          <w:szCs w:val="24"/>
        </w:rPr>
      </w:pPr>
      <w:r>
        <w:rPr>
          <w:rFonts w:ascii="Times New Roman" w:hAnsi="Times New Roman" w:cs="Times New Roman"/>
          <w:sz w:val="24"/>
          <w:szCs w:val="24"/>
        </w:rPr>
        <w:t>Marco</w:t>
      </w:r>
      <w:r w:rsidR="00057803">
        <w:rPr>
          <w:rFonts w:ascii="Times New Roman" w:hAnsi="Times New Roman" w:cs="Times New Roman"/>
          <w:sz w:val="24"/>
          <w:szCs w:val="24"/>
        </w:rPr>
        <w:t xml:space="preserve"> </w:t>
      </w:r>
      <w:r>
        <w:rPr>
          <w:rFonts w:ascii="Times New Roman" w:hAnsi="Times New Roman" w:cs="Times New Roman"/>
          <w:sz w:val="24"/>
          <w:szCs w:val="24"/>
        </w:rPr>
        <w:t>Valera</w:t>
      </w:r>
      <w:r w:rsidR="0050588E" w:rsidRPr="00AD5EBE">
        <w:rPr>
          <w:rFonts w:ascii="Times New Roman" w:hAnsi="Times New Roman" w:cs="Times New Roman"/>
          <w:iCs/>
          <w:color w:val="000000" w:themeColor="text1"/>
          <w:sz w:val="24"/>
          <w:szCs w:val="24"/>
        </w:rPr>
        <w:t xml:space="preserve">, </w:t>
      </w:r>
      <w:r w:rsidR="00057803">
        <w:rPr>
          <w:rFonts w:ascii="Times New Roman" w:hAnsi="Times New Roman" w:cs="Times New Roman"/>
          <w:iCs/>
          <w:color w:val="000000" w:themeColor="text1"/>
          <w:sz w:val="24"/>
          <w:szCs w:val="24"/>
        </w:rPr>
        <w:t>Senior Manager of Government Affairs &amp; Advocacy</w:t>
      </w:r>
      <w:r w:rsidR="0050588E" w:rsidRPr="00AD5EBE">
        <w:rPr>
          <w:rFonts w:ascii="Times New Roman" w:hAnsi="Times New Roman" w:cs="Times New Roman"/>
          <w:iCs/>
          <w:color w:val="000000" w:themeColor="text1"/>
          <w:sz w:val="24"/>
          <w:szCs w:val="24"/>
        </w:rPr>
        <w:t>,</w:t>
      </w:r>
      <w:r w:rsidR="00057803">
        <w:rPr>
          <w:rFonts w:ascii="Times New Roman" w:hAnsi="Times New Roman" w:cs="Times New Roman"/>
          <w:iCs/>
          <w:color w:val="000000" w:themeColor="text1"/>
          <w:sz w:val="24"/>
          <w:szCs w:val="24"/>
        </w:rPr>
        <w:t xml:space="preserve"> </w:t>
      </w:r>
      <w:r w:rsidR="0050588E" w:rsidRPr="00AD5EBE">
        <w:rPr>
          <w:rFonts w:ascii="Times New Roman" w:hAnsi="Times New Roman" w:cs="Times New Roman"/>
          <w:iCs/>
          <w:color w:val="000000" w:themeColor="text1"/>
          <w:sz w:val="24"/>
          <w:szCs w:val="24"/>
        </w:rPr>
        <w:t xml:space="preserve">Alzheimer’s </w:t>
      </w:r>
      <w:r w:rsidR="00057803">
        <w:rPr>
          <w:rFonts w:ascii="Times New Roman" w:hAnsi="Times New Roman" w:cs="Times New Roman"/>
          <w:iCs/>
          <w:color w:val="000000" w:themeColor="text1"/>
          <w:sz w:val="24"/>
          <w:szCs w:val="24"/>
        </w:rPr>
        <w:tab/>
      </w:r>
      <w:r w:rsidR="0050588E" w:rsidRPr="00AD5EBE">
        <w:rPr>
          <w:rFonts w:ascii="Times New Roman" w:hAnsi="Times New Roman" w:cs="Times New Roman"/>
          <w:iCs/>
          <w:color w:val="000000" w:themeColor="text1"/>
          <w:sz w:val="24"/>
          <w:szCs w:val="24"/>
        </w:rPr>
        <w:t>Association of Northern Nevada</w:t>
      </w:r>
    </w:p>
    <w:p w14:paraId="14E67C82" w14:textId="77777777" w:rsidR="001F2BCD" w:rsidRPr="00AD5EBE" w:rsidRDefault="001F2BCD" w:rsidP="00AD5EBE">
      <w:pPr>
        <w:pStyle w:val="Default"/>
        <w:ind w:right="108"/>
        <w:jc w:val="both"/>
        <w:rPr>
          <w:rFonts w:ascii="Times New Roman" w:hAnsi="Times New Roman" w:cs="Times New Roman"/>
          <w:sz w:val="24"/>
          <w:szCs w:val="24"/>
          <w:lang w:val="da-DK"/>
        </w:rPr>
      </w:pPr>
    </w:p>
    <w:p w14:paraId="69433169" w14:textId="2154DCD0" w:rsidR="00640854" w:rsidRDefault="001F2BCD">
      <w:pPr>
        <w:pStyle w:val="Default"/>
        <w:ind w:left="1170" w:right="108" w:hanging="450"/>
        <w:jc w:val="both"/>
        <w:rPr>
          <w:rFonts w:ascii="Times New Roman" w:eastAsia="Times New Roman" w:hAnsi="Times New Roman" w:cs="Times New Roman"/>
          <w:sz w:val="24"/>
          <w:szCs w:val="24"/>
        </w:rPr>
      </w:pPr>
      <w:r w:rsidRPr="00AD5EBE">
        <w:rPr>
          <w:rFonts w:ascii="Times New Roman" w:hAnsi="Times New Roman" w:cs="Times New Roman"/>
          <w:sz w:val="24"/>
          <w:szCs w:val="24"/>
          <w:lang w:val="da-DK"/>
        </w:rPr>
        <w:t xml:space="preserve">Wendy Simons, </w:t>
      </w:r>
      <w:r w:rsidR="00E979E3">
        <w:rPr>
          <w:rFonts w:ascii="Times New Roman" w:hAnsi="Times New Roman" w:cs="Times New Roman"/>
          <w:sz w:val="24"/>
          <w:szCs w:val="24"/>
        </w:rPr>
        <w:t>Deputy Director of Wellness, Nevada Department of Veterans Services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14:paraId="51CB6D19" w14:textId="77777777" w:rsidR="001F2BCD" w:rsidRDefault="001F2BCD">
      <w:pPr>
        <w:pStyle w:val="Default"/>
        <w:ind w:left="1170" w:right="720" w:hanging="450"/>
        <w:jc w:val="both"/>
        <w:rPr>
          <w:rFonts w:ascii="Times New Roman" w:hAnsi="Times New Roman"/>
          <w:sz w:val="24"/>
          <w:szCs w:val="24"/>
          <w:u w:color="000000"/>
        </w:rPr>
      </w:pPr>
    </w:p>
    <w:p w14:paraId="776D55E4" w14:textId="77777777" w:rsidR="001F2BCD" w:rsidRDefault="001F2BCD">
      <w:pPr>
        <w:pStyle w:val="Default"/>
        <w:ind w:left="1170" w:right="720" w:hanging="450"/>
        <w:jc w:val="both"/>
        <w:rPr>
          <w:rFonts w:ascii="Times New Roman" w:hAnsi="Times New Roman"/>
          <w:sz w:val="24"/>
          <w:szCs w:val="24"/>
          <w:u w:color="000000"/>
        </w:rPr>
      </w:pPr>
    </w:p>
    <w:p w14:paraId="3885153F" w14:textId="437B4D52" w:rsidR="00640854" w:rsidRPr="00AD5EBE" w:rsidRDefault="00855F97" w:rsidP="00855F97">
      <w:pPr>
        <w:autoSpaceDE w:val="0"/>
        <w:autoSpaceDN w:val="0"/>
        <w:adjustRightInd w:val="0"/>
        <w:rPr>
          <w:color w:val="000000"/>
        </w:rPr>
      </w:pPr>
      <w:r>
        <w:rPr>
          <w:u w:color="000000"/>
        </w:rPr>
        <w:t xml:space="preserve">            </w:t>
      </w:r>
    </w:p>
    <w:p w14:paraId="648CF0D2" w14:textId="77777777" w:rsidR="00640854" w:rsidRDefault="00640854">
      <w:pPr>
        <w:pStyle w:val="Default"/>
        <w:ind w:left="720" w:right="720"/>
        <w:rPr>
          <w:rFonts w:ascii="Times New Roman" w:eastAsia="Times New Roman" w:hAnsi="Times New Roman" w:cs="Times New Roman"/>
          <w:sz w:val="24"/>
          <w:szCs w:val="24"/>
          <w:u w:color="000000"/>
        </w:rPr>
      </w:pPr>
    </w:p>
    <w:p w14:paraId="0DFF8774" w14:textId="77777777" w:rsidR="00640854" w:rsidRDefault="00640854">
      <w:pPr>
        <w:pStyle w:val="Default"/>
        <w:ind w:left="720" w:right="108"/>
        <w:rPr>
          <w:rFonts w:ascii="Times" w:eastAsia="Times" w:hAnsi="Times" w:cs="Times"/>
          <w:sz w:val="24"/>
          <w:szCs w:val="24"/>
        </w:rPr>
      </w:pPr>
    </w:p>
    <w:p w14:paraId="1EFC147B" w14:textId="77777777" w:rsidR="00640854" w:rsidRDefault="00640854">
      <w:pPr>
        <w:pStyle w:val="Default"/>
        <w:ind w:hanging="576"/>
        <w:jc w:val="center"/>
        <w:rPr>
          <w:rFonts w:ascii="Times New Roman" w:eastAsia="Times New Roman" w:hAnsi="Times New Roman" w:cs="Times New Roman"/>
          <w:b/>
          <w:bCs/>
          <w:sz w:val="36"/>
          <w:szCs w:val="36"/>
        </w:rPr>
      </w:pPr>
    </w:p>
    <w:p w14:paraId="47AA7405" w14:textId="77777777" w:rsidR="00640854" w:rsidRDefault="00640854">
      <w:pPr>
        <w:pStyle w:val="Default"/>
        <w:rPr>
          <w:rFonts w:ascii="Times New Roman" w:eastAsia="Times New Roman" w:hAnsi="Times New Roman" w:cs="Times New Roman"/>
          <w:sz w:val="24"/>
          <w:szCs w:val="24"/>
        </w:rPr>
      </w:pPr>
    </w:p>
    <w:p w14:paraId="7131CCA3" w14:textId="77777777" w:rsidR="00640854" w:rsidRDefault="00640854">
      <w:pPr>
        <w:pStyle w:val="Default"/>
        <w:ind w:hanging="576"/>
        <w:jc w:val="center"/>
        <w:rPr>
          <w:rFonts w:ascii="Times New Roman" w:eastAsia="Times New Roman" w:hAnsi="Times New Roman" w:cs="Times New Roman"/>
          <w:b/>
          <w:bCs/>
          <w:sz w:val="36"/>
          <w:szCs w:val="36"/>
        </w:rPr>
      </w:pPr>
    </w:p>
    <w:p w14:paraId="1E848DD7" w14:textId="77777777" w:rsidR="00640854" w:rsidRDefault="00640854">
      <w:pPr>
        <w:pStyle w:val="Default"/>
        <w:ind w:hanging="576"/>
        <w:jc w:val="center"/>
        <w:rPr>
          <w:rFonts w:ascii="Times New Roman" w:eastAsia="Times New Roman" w:hAnsi="Times New Roman" w:cs="Times New Roman"/>
          <w:b/>
          <w:bCs/>
          <w:sz w:val="36"/>
          <w:szCs w:val="36"/>
        </w:rPr>
      </w:pPr>
    </w:p>
    <w:p w14:paraId="5E423810" w14:textId="77777777" w:rsidR="00640854" w:rsidRDefault="00640854">
      <w:pPr>
        <w:pStyle w:val="Default"/>
        <w:ind w:hanging="576"/>
        <w:jc w:val="center"/>
        <w:rPr>
          <w:rFonts w:ascii="Times New Roman" w:eastAsia="Times New Roman" w:hAnsi="Times New Roman" w:cs="Times New Roman"/>
          <w:b/>
          <w:bCs/>
          <w:sz w:val="36"/>
          <w:szCs w:val="36"/>
        </w:rPr>
      </w:pPr>
    </w:p>
    <w:p w14:paraId="6F29E51B" w14:textId="1FBC37F0" w:rsidR="00596EF1" w:rsidRDefault="00596EF1" w:rsidP="00AD5EBE">
      <w:pPr>
        <w:pStyle w:val="Default"/>
        <w:rPr>
          <w:rFonts w:ascii="Times New Roman" w:eastAsia="Times New Roman" w:hAnsi="Times New Roman" w:cs="Times New Roman"/>
          <w:b/>
          <w:bCs/>
          <w:sz w:val="36"/>
          <w:szCs w:val="36"/>
        </w:rPr>
      </w:pPr>
    </w:p>
    <w:p w14:paraId="12BAB6D3" w14:textId="77777777" w:rsidR="00E04887" w:rsidRDefault="00E04887" w:rsidP="00AD5EBE">
      <w:pPr>
        <w:pStyle w:val="Default"/>
        <w:rPr>
          <w:rFonts w:ascii="Times New Roman" w:eastAsia="Times New Roman" w:hAnsi="Times New Roman" w:cs="Times New Roman"/>
          <w:b/>
          <w:bCs/>
          <w:sz w:val="36"/>
          <w:szCs w:val="36"/>
        </w:rPr>
      </w:pPr>
    </w:p>
    <w:p w14:paraId="04A44E2C" w14:textId="42C087E3" w:rsidR="00640854" w:rsidRDefault="001F2BCD" w:rsidP="00AD5EBE">
      <w:pPr>
        <w:pStyle w:val="Default"/>
        <w:rPr>
          <w:rFonts w:ascii="Times New Roman" w:eastAsia="Times New Roman" w:hAnsi="Times New Roman" w:cs="Times New Roman"/>
          <w:b/>
          <w:bCs/>
          <w:i/>
          <w:iCs/>
          <w:sz w:val="28"/>
          <w:szCs w:val="28"/>
          <w:u w:val="single"/>
        </w:rPr>
      </w:pPr>
      <w:r>
        <w:rPr>
          <w:rFonts w:ascii="Times New Roman" w:hAnsi="Times New Roman"/>
          <w:b/>
          <w:bCs/>
          <w:i/>
          <w:iCs/>
          <w:sz w:val="28"/>
          <w:szCs w:val="28"/>
          <w:u w:val="single"/>
          <w:lang w:val="fr-FR"/>
        </w:rPr>
        <w:t>Introduction</w:t>
      </w:r>
    </w:p>
    <w:p w14:paraId="6C61554A" w14:textId="77777777" w:rsidR="0026304A" w:rsidRPr="00AD5EBE" w:rsidRDefault="0026304A">
      <w:pPr>
        <w:pStyle w:val="Default"/>
        <w:jc w:val="both"/>
        <w:rPr>
          <w:rFonts w:ascii="Times New Roman" w:hAnsi="Times New Roman"/>
          <w:iCs/>
          <w:color w:val="FF40FF"/>
          <w:sz w:val="24"/>
          <w:szCs w:val="24"/>
        </w:rPr>
      </w:pPr>
    </w:p>
    <w:p w14:paraId="5D8E5ABB" w14:textId="1C499190" w:rsidR="00720A6C" w:rsidRDefault="00720A6C" w:rsidP="00720A6C">
      <w:pPr>
        <w:pStyle w:val="Body"/>
        <w:rPr>
          <w:rFonts w:ascii="Times New Roman" w:eastAsia="Times New Roman" w:hAnsi="Times New Roman" w:cs="Times New Roman"/>
          <w:sz w:val="24"/>
          <w:szCs w:val="24"/>
        </w:rPr>
      </w:pPr>
      <w:r>
        <w:rPr>
          <w:rFonts w:ascii="Times New Roman" w:hAnsi="Times New Roman"/>
          <w:sz w:val="24"/>
          <w:szCs w:val="24"/>
        </w:rPr>
        <w:t>Alzheimer’s disease</w:t>
      </w:r>
      <w:r w:rsidR="00FF6C37">
        <w:rPr>
          <w:rFonts w:ascii="Times New Roman" w:hAnsi="Times New Roman"/>
          <w:sz w:val="24"/>
          <w:szCs w:val="24"/>
        </w:rPr>
        <w:t>,</w:t>
      </w:r>
      <w:r>
        <w:rPr>
          <w:rFonts w:ascii="Times New Roman" w:hAnsi="Times New Roman"/>
          <w:sz w:val="24"/>
          <w:szCs w:val="24"/>
        </w:rPr>
        <w:t xml:space="preserve"> and other </w:t>
      </w:r>
      <w:r w:rsidR="00FF6C37">
        <w:rPr>
          <w:rFonts w:ascii="Times New Roman" w:hAnsi="Times New Roman"/>
          <w:sz w:val="24"/>
          <w:szCs w:val="24"/>
        </w:rPr>
        <w:t>causes</w:t>
      </w:r>
      <w:r>
        <w:rPr>
          <w:rFonts w:ascii="Times New Roman" w:hAnsi="Times New Roman"/>
          <w:sz w:val="24"/>
          <w:szCs w:val="24"/>
        </w:rPr>
        <w:t xml:space="preserve"> of dementia</w:t>
      </w:r>
      <w:r w:rsidR="00FF6C37">
        <w:rPr>
          <w:rFonts w:ascii="Times New Roman" w:hAnsi="Times New Roman"/>
          <w:sz w:val="24"/>
          <w:szCs w:val="24"/>
        </w:rPr>
        <w:t>,</w:t>
      </w:r>
      <w:r>
        <w:rPr>
          <w:rFonts w:ascii="Times New Roman" w:hAnsi="Times New Roman"/>
          <w:sz w:val="24"/>
          <w:szCs w:val="24"/>
        </w:rPr>
        <w:t xml:space="preserve"> dramatically and uniquely impact individuals</w:t>
      </w:r>
      <w:r w:rsidR="00FF6C37">
        <w:rPr>
          <w:rFonts w:ascii="Times New Roman" w:hAnsi="Times New Roman"/>
          <w:sz w:val="24"/>
          <w:szCs w:val="24"/>
        </w:rPr>
        <w:t xml:space="preserve"> who are living with the disease, with or without a formal</w:t>
      </w:r>
      <w:r>
        <w:rPr>
          <w:rFonts w:ascii="Times New Roman" w:hAnsi="Times New Roman"/>
          <w:sz w:val="24"/>
          <w:szCs w:val="24"/>
        </w:rPr>
        <w:t xml:space="preserve"> diagnos</w:t>
      </w:r>
      <w:r w:rsidR="00FF6C37">
        <w:rPr>
          <w:rFonts w:ascii="Times New Roman" w:hAnsi="Times New Roman"/>
          <w:sz w:val="24"/>
          <w:szCs w:val="24"/>
        </w:rPr>
        <w:t>is</w:t>
      </w:r>
      <w:r>
        <w:rPr>
          <w:rFonts w:ascii="Times New Roman" w:hAnsi="Times New Roman"/>
          <w:sz w:val="24"/>
          <w:szCs w:val="24"/>
        </w:rPr>
        <w:t xml:space="preserve">, </w:t>
      </w:r>
      <w:r>
        <w:rPr>
          <w:rFonts w:ascii="Times New Roman" w:hAnsi="Times New Roman"/>
          <w:sz w:val="24"/>
          <w:szCs w:val="24"/>
          <w:u w:val="single"/>
        </w:rPr>
        <w:t>a</w:t>
      </w:r>
      <w:r w:rsidR="00FF6C37">
        <w:rPr>
          <w:rFonts w:ascii="Times New Roman" w:hAnsi="Times New Roman"/>
          <w:sz w:val="24"/>
          <w:szCs w:val="24"/>
          <w:u w:val="single"/>
        </w:rPr>
        <w:t>s well as</w:t>
      </w:r>
      <w:r>
        <w:rPr>
          <w:rFonts w:ascii="Times New Roman" w:hAnsi="Times New Roman"/>
          <w:sz w:val="24"/>
          <w:szCs w:val="24"/>
        </w:rPr>
        <w:t xml:space="preserve"> </w:t>
      </w:r>
      <w:r w:rsidR="00FF6C37">
        <w:rPr>
          <w:rFonts w:ascii="Times New Roman" w:hAnsi="Times New Roman"/>
          <w:sz w:val="24"/>
          <w:szCs w:val="24"/>
        </w:rPr>
        <w:t>all</w:t>
      </w:r>
      <w:r>
        <w:rPr>
          <w:rFonts w:ascii="Times New Roman" w:hAnsi="Times New Roman"/>
          <w:sz w:val="24"/>
          <w:szCs w:val="24"/>
        </w:rPr>
        <w:t xml:space="preserve"> those who support them, including, without limitation, </w:t>
      </w:r>
      <w:r w:rsidR="00FF6C37">
        <w:rPr>
          <w:rFonts w:ascii="Times New Roman" w:hAnsi="Times New Roman"/>
          <w:sz w:val="24"/>
          <w:szCs w:val="24"/>
        </w:rPr>
        <w:t xml:space="preserve">spouses, </w:t>
      </w:r>
      <w:r>
        <w:rPr>
          <w:rFonts w:ascii="Times New Roman" w:hAnsi="Times New Roman"/>
          <w:sz w:val="24"/>
          <w:szCs w:val="24"/>
        </w:rPr>
        <w:t xml:space="preserve">family, friends, </w:t>
      </w:r>
      <w:r w:rsidR="00FF6C37">
        <w:rPr>
          <w:rFonts w:ascii="Times New Roman" w:hAnsi="Times New Roman"/>
          <w:sz w:val="24"/>
          <w:szCs w:val="24"/>
        </w:rPr>
        <w:t xml:space="preserve">formal and informal </w:t>
      </w:r>
      <w:r>
        <w:rPr>
          <w:rFonts w:ascii="Times New Roman" w:hAnsi="Times New Roman"/>
          <w:sz w:val="24"/>
          <w:szCs w:val="24"/>
        </w:rPr>
        <w:t xml:space="preserve">caregivers, healthcare providers, first responders, legal representatives, and others. </w:t>
      </w:r>
      <w:r w:rsidR="00FF6C37">
        <w:rPr>
          <w:rFonts w:ascii="Times New Roman" w:hAnsi="Times New Roman"/>
          <w:sz w:val="24"/>
          <w:szCs w:val="24"/>
        </w:rPr>
        <w:t>While there are many different causes of the symptoms of dementia,</w:t>
      </w:r>
      <w:r>
        <w:rPr>
          <w:rFonts w:ascii="Times New Roman" w:hAnsi="Times New Roman"/>
          <w:sz w:val="24"/>
          <w:szCs w:val="24"/>
        </w:rPr>
        <w:t xml:space="preserve"> Alzheimer’s disease is </w:t>
      </w:r>
      <w:r w:rsidR="00FF6C37">
        <w:rPr>
          <w:rFonts w:ascii="Times New Roman" w:hAnsi="Times New Roman"/>
          <w:sz w:val="24"/>
          <w:szCs w:val="24"/>
        </w:rPr>
        <w:t xml:space="preserve">the most common cause </w:t>
      </w:r>
      <w:r>
        <w:rPr>
          <w:rFonts w:ascii="Times New Roman" w:hAnsi="Times New Roman"/>
          <w:sz w:val="24"/>
          <w:szCs w:val="24"/>
        </w:rPr>
        <w:t>and comprises a</w:t>
      </w:r>
      <w:r w:rsidR="00FF6C37">
        <w:rPr>
          <w:rFonts w:ascii="Times New Roman" w:hAnsi="Times New Roman"/>
          <w:sz w:val="24"/>
          <w:szCs w:val="24"/>
        </w:rPr>
        <w:t>pproximately</w:t>
      </w:r>
      <w:r>
        <w:rPr>
          <w:rFonts w:ascii="Times New Roman" w:hAnsi="Times New Roman"/>
          <w:sz w:val="24"/>
          <w:szCs w:val="24"/>
        </w:rPr>
        <w:t xml:space="preserve"> 70 percent of all dementia diagnoses.</w:t>
      </w:r>
    </w:p>
    <w:p w14:paraId="393BB298" w14:textId="77777777" w:rsidR="00720A6C" w:rsidRDefault="00720A6C" w:rsidP="00720A6C">
      <w:pPr>
        <w:pStyle w:val="Body"/>
        <w:rPr>
          <w:rFonts w:ascii="Times New Roman" w:eastAsia="Times New Roman" w:hAnsi="Times New Roman" w:cs="Times New Roman"/>
          <w:sz w:val="24"/>
          <w:szCs w:val="24"/>
        </w:rPr>
      </w:pPr>
    </w:p>
    <w:p w14:paraId="423F31F5" w14:textId="28FE6833" w:rsidR="00720A6C" w:rsidRDefault="005137BF" w:rsidP="00720A6C">
      <w:pPr>
        <w:pStyle w:val="Body"/>
        <w:rPr>
          <w:rFonts w:ascii="Times New Roman" w:eastAsia="Times New Roman" w:hAnsi="Times New Roman" w:cs="Times New Roman"/>
          <w:sz w:val="24"/>
          <w:szCs w:val="24"/>
        </w:rPr>
      </w:pPr>
      <w:r>
        <w:rPr>
          <w:rFonts w:ascii="Times New Roman" w:hAnsi="Times New Roman"/>
          <w:sz w:val="24"/>
          <w:szCs w:val="24"/>
        </w:rPr>
        <w:t xml:space="preserve">Data released by the Alzheimer’s Association </w:t>
      </w:r>
      <w:r w:rsidR="00743FA2">
        <w:rPr>
          <w:rFonts w:ascii="Times New Roman" w:hAnsi="Times New Roman"/>
          <w:sz w:val="24"/>
          <w:szCs w:val="24"/>
        </w:rPr>
        <w:t>(2019)</w:t>
      </w:r>
      <w:r w:rsidR="00B226E8">
        <w:rPr>
          <w:rFonts w:ascii="Times New Roman" w:hAnsi="Times New Roman"/>
          <w:sz w:val="24"/>
          <w:szCs w:val="24"/>
        </w:rPr>
        <w:t xml:space="preserve"> </w:t>
      </w:r>
      <w:r>
        <w:rPr>
          <w:rFonts w:ascii="Times New Roman" w:hAnsi="Times New Roman"/>
          <w:sz w:val="24"/>
          <w:szCs w:val="24"/>
        </w:rPr>
        <w:t>estimates that there are approximately</w:t>
      </w:r>
      <w:r w:rsidR="00720A6C">
        <w:rPr>
          <w:rFonts w:ascii="Times New Roman" w:hAnsi="Times New Roman"/>
          <w:sz w:val="24"/>
          <w:szCs w:val="24"/>
        </w:rPr>
        <w:t xml:space="preserve"> 4</w:t>
      </w:r>
      <w:r w:rsidR="00B226E8">
        <w:rPr>
          <w:rFonts w:ascii="Times New Roman" w:hAnsi="Times New Roman"/>
          <w:sz w:val="24"/>
          <w:szCs w:val="24"/>
        </w:rPr>
        <w:t>7</w:t>
      </w:r>
      <w:r w:rsidR="00720A6C">
        <w:rPr>
          <w:rFonts w:ascii="Times New Roman" w:hAnsi="Times New Roman"/>
          <w:sz w:val="24"/>
          <w:szCs w:val="24"/>
        </w:rPr>
        <w:t xml:space="preserve">,000 people in Nevada </w:t>
      </w:r>
      <w:r w:rsidR="00B226E8">
        <w:rPr>
          <w:rFonts w:ascii="Times New Roman" w:hAnsi="Times New Roman"/>
          <w:sz w:val="24"/>
          <w:szCs w:val="24"/>
        </w:rPr>
        <w:t>living</w:t>
      </w:r>
      <w:r w:rsidR="00720A6C">
        <w:rPr>
          <w:rFonts w:ascii="Times New Roman" w:hAnsi="Times New Roman"/>
          <w:sz w:val="24"/>
          <w:szCs w:val="24"/>
        </w:rPr>
        <w:t xml:space="preserve"> with Alzheimer’s disease and other forms of dementia. According to the Alzheimer’s Association, the prevalence of Alzheimer’s disease for people age</w:t>
      </w:r>
      <w:r w:rsidR="00B226E8">
        <w:rPr>
          <w:rFonts w:ascii="Times New Roman" w:hAnsi="Times New Roman"/>
          <w:sz w:val="24"/>
          <w:szCs w:val="24"/>
        </w:rPr>
        <w:t>s</w:t>
      </w:r>
      <w:r w:rsidR="00720A6C">
        <w:rPr>
          <w:rFonts w:ascii="Times New Roman" w:hAnsi="Times New Roman"/>
          <w:sz w:val="24"/>
          <w:szCs w:val="24"/>
        </w:rPr>
        <w:t xml:space="preserve"> 65 and older, will grow more than </w:t>
      </w:r>
      <w:r w:rsidR="00B226E8">
        <w:rPr>
          <w:rFonts w:ascii="Times New Roman" w:hAnsi="Times New Roman"/>
          <w:sz w:val="24"/>
          <w:szCs w:val="24"/>
        </w:rPr>
        <w:t>36% in just six years</w:t>
      </w:r>
      <w:r w:rsidR="00720A6C">
        <w:rPr>
          <w:rFonts w:ascii="Times New Roman" w:hAnsi="Times New Roman"/>
          <w:sz w:val="24"/>
          <w:szCs w:val="24"/>
        </w:rPr>
        <w:t xml:space="preserve"> between 201</w:t>
      </w:r>
      <w:r w:rsidR="00B226E8">
        <w:rPr>
          <w:rFonts w:ascii="Times New Roman" w:hAnsi="Times New Roman"/>
          <w:sz w:val="24"/>
          <w:szCs w:val="24"/>
        </w:rPr>
        <w:t>9</w:t>
      </w:r>
      <w:r w:rsidR="00720A6C">
        <w:rPr>
          <w:rFonts w:ascii="Times New Roman" w:hAnsi="Times New Roman"/>
          <w:sz w:val="24"/>
          <w:szCs w:val="24"/>
        </w:rPr>
        <w:t xml:space="preserve"> and 2025 to 64,000 Nevadans affected. </w:t>
      </w:r>
      <w:r w:rsidR="00EB2C49">
        <w:rPr>
          <w:rFonts w:ascii="Times New Roman" w:hAnsi="Times New Roman"/>
          <w:sz w:val="24"/>
          <w:szCs w:val="24"/>
        </w:rPr>
        <w:t xml:space="preserve">During 2019, </w:t>
      </w:r>
      <w:r w:rsidR="00720A6C">
        <w:rPr>
          <w:rFonts w:ascii="Times New Roman" w:hAnsi="Times New Roman"/>
          <w:sz w:val="24"/>
          <w:szCs w:val="24"/>
        </w:rPr>
        <w:t>Nevada rank</w:t>
      </w:r>
      <w:r w:rsidR="00EB2C49">
        <w:rPr>
          <w:rFonts w:ascii="Times New Roman" w:hAnsi="Times New Roman"/>
          <w:sz w:val="24"/>
          <w:szCs w:val="24"/>
        </w:rPr>
        <w:t>ed</w:t>
      </w:r>
      <w:r w:rsidR="00720A6C">
        <w:rPr>
          <w:rFonts w:ascii="Times New Roman" w:hAnsi="Times New Roman"/>
          <w:sz w:val="24"/>
          <w:szCs w:val="24"/>
        </w:rPr>
        <w:t xml:space="preserve"> as the state with the </w:t>
      </w:r>
      <w:r w:rsidR="00B226E8">
        <w:rPr>
          <w:rFonts w:ascii="Times New Roman" w:hAnsi="Times New Roman"/>
          <w:sz w:val="24"/>
          <w:szCs w:val="24"/>
        </w:rPr>
        <w:t>third</w:t>
      </w:r>
      <w:r w:rsidR="00720A6C">
        <w:rPr>
          <w:rFonts w:ascii="Times New Roman" w:hAnsi="Times New Roman"/>
          <w:sz w:val="24"/>
          <w:szCs w:val="24"/>
        </w:rPr>
        <w:t xml:space="preserve"> </w:t>
      </w:r>
      <w:r w:rsidR="00B226E8">
        <w:rPr>
          <w:rFonts w:ascii="Times New Roman" w:hAnsi="Times New Roman"/>
          <w:sz w:val="24"/>
          <w:szCs w:val="24"/>
        </w:rPr>
        <w:t>fastest growing population of residents living with dementia.</w:t>
      </w:r>
    </w:p>
    <w:p w14:paraId="0D6C5B73" w14:textId="77777777" w:rsidR="00720A6C" w:rsidRDefault="00720A6C" w:rsidP="00720A6C">
      <w:pPr>
        <w:pStyle w:val="Body"/>
        <w:rPr>
          <w:rFonts w:ascii="Times New Roman" w:eastAsia="Times New Roman" w:hAnsi="Times New Roman" w:cs="Times New Roman"/>
          <w:sz w:val="24"/>
          <w:szCs w:val="24"/>
        </w:rPr>
      </w:pPr>
    </w:p>
    <w:p w14:paraId="10FCFD48" w14:textId="7578CCFF" w:rsidR="00720A6C" w:rsidRDefault="00720A6C" w:rsidP="00720A6C">
      <w:pPr>
        <w:pStyle w:val="Body"/>
        <w:rPr>
          <w:rFonts w:ascii="Times New Roman" w:eastAsia="Times New Roman" w:hAnsi="Times New Roman" w:cs="Times New Roman"/>
          <w:sz w:val="24"/>
          <w:szCs w:val="24"/>
        </w:rPr>
      </w:pPr>
      <w:r>
        <w:rPr>
          <w:rFonts w:ascii="Times New Roman" w:hAnsi="Times New Roman"/>
          <w:sz w:val="24"/>
          <w:szCs w:val="24"/>
        </w:rPr>
        <w:t xml:space="preserve">Between now and 2025, the financial cost of Alzheimer’s disease and other forms of dementia to Medicaid in Nevada will increase </w:t>
      </w:r>
      <w:r w:rsidR="006323BD" w:rsidRPr="006323BD">
        <w:rPr>
          <w:rFonts w:ascii="Times New Roman" w:hAnsi="Times New Roman"/>
          <w:sz w:val="24"/>
          <w:szCs w:val="24"/>
        </w:rPr>
        <w:t>49%</w:t>
      </w:r>
      <w:r w:rsidRPr="006323BD">
        <w:rPr>
          <w:rFonts w:ascii="Times New Roman" w:hAnsi="Times New Roman"/>
          <w:sz w:val="24"/>
          <w:szCs w:val="24"/>
        </w:rPr>
        <w:t>, from $1</w:t>
      </w:r>
      <w:r w:rsidR="006323BD" w:rsidRPr="006323BD">
        <w:rPr>
          <w:rFonts w:ascii="Times New Roman" w:hAnsi="Times New Roman"/>
          <w:sz w:val="24"/>
          <w:szCs w:val="24"/>
        </w:rPr>
        <w:t>85</w:t>
      </w:r>
      <w:r w:rsidRPr="006323BD">
        <w:rPr>
          <w:rFonts w:ascii="Times New Roman" w:hAnsi="Times New Roman"/>
          <w:sz w:val="24"/>
          <w:szCs w:val="24"/>
        </w:rPr>
        <w:t xml:space="preserve"> million to $27</w:t>
      </w:r>
      <w:r w:rsidR="006323BD" w:rsidRPr="006323BD">
        <w:rPr>
          <w:rFonts w:ascii="Times New Roman" w:hAnsi="Times New Roman"/>
          <w:sz w:val="24"/>
          <w:szCs w:val="24"/>
        </w:rPr>
        <w:t>5</w:t>
      </w:r>
      <w:r w:rsidRPr="006323BD">
        <w:rPr>
          <w:rFonts w:ascii="Times New Roman" w:hAnsi="Times New Roman"/>
          <w:sz w:val="24"/>
          <w:szCs w:val="24"/>
        </w:rPr>
        <w:t xml:space="preserve"> million.</w:t>
      </w:r>
      <w:r>
        <w:rPr>
          <w:rFonts w:ascii="Times New Roman" w:hAnsi="Times New Roman"/>
          <w:sz w:val="24"/>
          <w:szCs w:val="24"/>
        </w:rPr>
        <w:t xml:space="preserve"> Again, Nevada is experiencing the </w:t>
      </w:r>
      <w:r w:rsidR="000F0D56">
        <w:rPr>
          <w:rFonts w:ascii="Times New Roman" w:hAnsi="Times New Roman"/>
          <w:sz w:val="24"/>
          <w:szCs w:val="24"/>
        </w:rPr>
        <w:t>third</w:t>
      </w:r>
      <w:r>
        <w:rPr>
          <w:rFonts w:ascii="Times New Roman" w:hAnsi="Times New Roman"/>
          <w:sz w:val="24"/>
          <w:szCs w:val="24"/>
        </w:rPr>
        <w:t xml:space="preserve"> highest percent of increase </w:t>
      </w:r>
      <w:r w:rsidR="000F0D56">
        <w:rPr>
          <w:rFonts w:ascii="Times New Roman" w:hAnsi="Times New Roman"/>
          <w:sz w:val="24"/>
          <w:szCs w:val="24"/>
        </w:rPr>
        <w:t>in the US</w:t>
      </w:r>
      <w:r>
        <w:rPr>
          <w:rFonts w:ascii="Times New Roman" w:hAnsi="Times New Roman"/>
          <w:sz w:val="24"/>
          <w:szCs w:val="24"/>
        </w:rPr>
        <w:t xml:space="preserve">. </w:t>
      </w:r>
    </w:p>
    <w:p w14:paraId="548D76F7" w14:textId="77777777" w:rsidR="00720A6C" w:rsidRDefault="00720A6C" w:rsidP="00720A6C">
      <w:pPr>
        <w:pStyle w:val="Body"/>
        <w:rPr>
          <w:rFonts w:ascii="Times New Roman" w:eastAsia="Times New Roman" w:hAnsi="Times New Roman" w:cs="Times New Roman"/>
          <w:sz w:val="24"/>
          <w:szCs w:val="24"/>
        </w:rPr>
      </w:pPr>
    </w:p>
    <w:p w14:paraId="6D11F430" w14:textId="473663DF" w:rsidR="00E85351" w:rsidRPr="00AD5EBE" w:rsidRDefault="00720A6C" w:rsidP="00AD5EBE">
      <w:pPr>
        <w:pStyle w:val="Body"/>
      </w:pPr>
      <w:r>
        <w:rPr>
          <w:rFonts w:ascii="Times New Roman" w:hAnsi="Times New Roman"/>
          <w:sz w:val="24"/>
          <w:szCs w:val="24"/>
        </w:rPr>
        <w:t xml:space="preserve">There are </w:t>
      </w:r>
      <w:r w:rsidR="000F0D56">
        <w:rPr>
          <w:rFonts w:ascii="Times New Roman" w:hAnsi="Times New Roman"/>
          <w:sz w:val="24"/>
          <w:szCs w:val="24"/>
        </w:rPr>
        <w:t>additional</w:t>
      </w:r>
      <w:r>
        <w:rPr>
          <w:rFonts w:ascii="Times New Roman" w:hAnsi="Times New Roman"/>
          <w:sz w:val="24"/>
          <w:szCs w:val="24"/>
        </w:rPr>
        <w:t xml:space="preserve"> immeasurable costs as well, which </w:t>
      </w:r>
      <w:r w:rsidR="000F0D56">
        <w:rPr>
          <w:rFonts w:ascii="Times New Roman" w:hAnsi="Times New Roman"/>
          <w:sz w:val="24"/>
          <w:szCs w:val="24"/>
        </w:rPr>
        <w:t>constitute a</w:t>
      </w:r>
      <w:r>
        <w:rPr>
          <w:rFonts w:ascii="Times New Roman" w:hAnsi="Times New Roman"/>
          <w:sz w:val="24"/>
          <w:szCs w:val="24"/>
        </w:rPr>
        <w:t xml:space="preserve"> multiplier effect</w:t>
      </w:r>
      <w:r w:rsidR="000F0D56">
        <w:rPr>
          <w:rFonts w:ascii="Times New Roman" w:hAnsi="Times New Roman"/>
          <w:sz w:val="24"/>
          <w:szCs w:val="24"/>
        </w:rPr>
        <w:t xml:space="preserve"> to the impact of dementia in Nevada</w:t>
      </w:r>
      <w:r>
        <w:rPr>
          <w:rFonts w:ascii="Times New Roman" w:hAnsi="Times New Roman"/>
          <w:sz w:val="24"/>
          <w:szCs w:val="24"/>
        </w:rPr>
        <w:t xml:space="preserve">. These “costs” </w:t>
      </w:r>
      <w:r w:rsidR="000F0D56">
        <w:rPr>
          <w:rFonts w:ascii="Times New Roman" w:hAnsi="Times New Roman"/>
          <w:sz w:val="24"/>
          <w:szCs w:val="24"/>
        </w:rPr>
        <w:t xml:space="preserve">stem from the impact on quality of life of family caregivers, including negative effects on the </w:t>
      </w:r>
      <w:r>
        <w:rPr>
          <w:rFonts w:ascii="Times New Roman" w:hAnsi="Times New Roman"/>
          <w:sz w:val="24"/>
          <w:szCs w:val="24"/>
        </w:rPr>
        <w:t>physical, emotional, financial, psychological</w:t>
      </w:r>
      <w:r w:rsidR="000F0D56">
        <w:rPr>
          <w:rFonts w:ascii="Times New Roman" w:hAnsi="Times New Roman"/>
          <w:sz w:val="24"/>
          <w:szCs w:val="24"/>
        </w:rPr>
        <w:t xml:space="preserve"> and</w:t>
      </w:r>
      <w:r>
        <w:rPr>
          <w:rFonts w:ascii="Times New Roman" w:hAnsi="Times New Roman"/>
          <w:sz w:val="24"/>
          <w:szCs w:val="24"/>
        </w:rPr>
        <w:t xml:space="preserve"> social</w:t>
      </w:r>
      <w:r w:rsidR="000F0D56">
        <w:rPr>
          <w:rFonts w:ascii="Times New Roman" w:hAnsi="Times New Roman"/>
          <w:sz w:val="24"/>
          <w:szCs w:val="24"/>
        </w:rPr>
        <w:t xml:space="preserve"> health of </w:t>
      </w:r>
      <w:r>
        <w:rPr>
          <w:rFonts w:ascii="Times New Roman" w:hAnsi="Times New Roman"/>
          <w:sz w:val="24"/>
          <w:szCs w:val="24"/>
        </w:rPr>
        <w:t xml:space="preserve">those who provide constant </w:t>
      </w:r>
      <w:r>
        <w:rPr>
          <w:rFonts w:ascii="Times New Roman" w:hAnsi="Times New Roman"/>
          <w:sz w:val="24"/>
          <w:szCs w:val="24"/>
          <w:u w:val="single"/>
        </w:rPr>
        <w:t>un</w:t>
      </w:r>
      <w:r>
        <w:rPr>
          <w:rFonts w:ascii="Times New Roman" w:hAnsi="Times New Roman"/>
          <w:sz w:val="24"/>
          <w:szCs w:val="24"/>
        </w:rPr>
        <w:t>compensated care</w:t>
      </w:r>
      <w:r w:rsidR="000F0D56">
        <w:rPr>
          <w:rFonts w:ascii="Times New Roman" w:hAnsi="Times New Roman"/>
          <w:sz w:val="24"/>
          <w:szCs w:val="24"/>
        </w:rPr>
        <w:t xml:space="preserve"> and support</w:t>
      </w:r>
      <w:r>
        <w:rPr>
          <w:rFonts w:ascii="Times New Roman" w:hAnsi="Times New Roman"/>
          <w:sz w:val="24"/>
          <w:szCs w:val="24"/>
        </w:rPr>
        <w:t>. Currently, this directly or indirectly affects hundreds of thousands of Nevadans. And, these numbers continue to climb and . . . climb.</w:t>
      </w:r>
      <w:r w:rsidR="006323BD">
        <w:rPr>
          <w:rFonts w:ascii="Times New Roman" w:hAnsi="Times New Roman"/>
          <w:sz w:val="24"/>
          <w:szCs w:val="24"/>
        </w:rPr>
        <w:t xml:space="preserve"> The Alzheimer’s Association estimates that there are approximately 151,000 caregivers in Nevada, offering a total of 172 million hours of unpaid care.</w:t>
      </w:r>
    </w:p>
    <w:p w14:paraId="00BC4B6D" w14:textId="77777777" w:rsidR="00720A6C" w:rsidRDefault="00720A6C">
      <w:pPr>
        <w:pStyle w:val="Default"/>
        <w:jc w:val="both"/>
        <w:rPr>
          <w:rFonts w:ascii="Times New Roman" w:eastAsia="Times New Roman" w:hAnsi="Times New Roman" w:cs="Times New Roman"/>
          <w:i/>
          <w:iCs/>
          <w:color w:val="FF40FF"/>
          <w:sz w:val="24"/>
          <w:szCs w:val="24"/>
        </w:rPr>
      </w:pPr>
    </w:p>
    <w:p w14:paraId="64D1BC76" w14:textId="7AA38B19" w:rsidR="00640854" w:rsidRDefault="001F2BCD">
      <w:pPr>
        <w:pStyle w:val="Default"/>
        <w:rPr>
          <w:rFonts w:ascii="Times New Roman" w:eastAsia="Times New Roman" w:hAnsi="Times New Roman" w:cs="Times New Roman"/>
          <w:b/>
          <w:bCs/>
          <w:i/>
          <w:iCs/>
          <w:sz w:val="28"/>
          <w:szCs w:val="28"/>
          <w:u w:val="single"/>
        </w:rPr>
      </w:pPr>
      <w:r>
        <w:rPr>
          <w:rFonts w:ascii="Times New Roman" w:hAnsi="Times New Roman"/>
          <w:b/>
          <w:bCs/>
          <w:i/>
          <w:iCs/>
          <w:sz w:val="28"/>
          <w:szCs w:val="28"/>
          <w:u w:val="single"/>
        </w:rPr>
        <w:t>History</w:t>
      </w:r>
    </w:p>
    <w:p w14:paraId="5D37F1C7"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During the 2011 Legislative Session, both the Assembly and Senate recognized the need to focus special attention on Alzheimer’s disease and unanimously supported the passage of Assembly Concurrent Resolution 10 (ACR 10), sponsored by Assemblywoman Debbie Smith. This </w:t>
      </w:r>
      <w:r>
        <w:rPr>
          <w:rFonts w:ascii="Times New Roman" w:hAnsi="Times New Roman"/>
          <w:sz w:val="24"/>
          <w:szCs w:val="24"/>
        </w:rPr>
        <w:lastRenderedPageBreak/>
        <w:t xml:space="preserve">resolution directed the Legislative Committee on Health Care to create a task force to develop a “State Plan to Address </w:t>
      </w:r>
      <w:r>
        <w:rPr>
          <w:rFonts w:ascii="Times New Roman" w:hAnsi="Times New Roman"/>
          <w:sz w:val="24"/>
          <w:szCs w:val="24"/>
          <w:lang w:val="de-DE"/>
        </w:rPr>
        <w:t>Alzheimer</w:t>
      </w:r>
      <w:r>
        <w:rPr>
          <w:rFonts w:ascii="Times New Roman" w:hAnsi="Times New Roman"/>
          <w:sz w:val="24"/>
          <w:szCs w:val="24"/>
        </w:rPr>
        <w:t xml:space="preserve">’s Disease” and to submit the State Plan to the 2013 Session of the Nevada Legislature. This plan would serve as a blueprint for identifying specific actions that could pave the way for the development and growth of a quality and comprehensive support system for individuals affected by Alzheimer’s disease. </w:t>
      </w:r>
    </w:p>
    <w:p w14:paraId="4643433F" w14:textId="77777777" w:rsidR="00640854" w:rsidRDefault="00640854">
      <w:pPr>
        <w:pStyle w:val="Default"/>
        <w:jc w:val="both"/>
        <w:rPr>
          <w:rFonts w:ascii="Times New Roman" w:eastAsia="Times New Roman" w:hAnsi="Times New Roman" w:cs="Times New Roman"/>
          <w:sz w:val="24"/>
          <w:szCs w:val="24"/>
        </w:rPr>
      </w:pPr>
    </w:p>
    <w:p w14:paraId="1D77AD91" w14:textId="082A5820"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In 2012, Assemblywoman April </w:t>
      </w:r>
      <w:proofErr w:type="spellStart"/>
      <w:r>
        <w:rPr>
          <w:rFonts w:ascii="Times New Roman" w:hAnsi="Times New Roman"/>
          <w:sz w:val="24"/>
          <w:szCs w:val="24"/>
        </w:rPr>
        <w:t>Mastroluca</w:t>
      </w:r>
      <w:proofErr w:type="spellEnd"/>
      <w:r>
        <w:rPr>
          <w:rFonts w:ascii="Times New Roman" w:hAnsi="Times New Roman"/>
          <w:sz w:val="24"/>
          <w:szCs w:val="24"/>
        </w:rPr>
        <w:t xml:space="preserve">, </w:t>
      </w:r>
      <w:r w:rsidR="00BE7316">
        <w:rPr>
          <w:rFonts w:ascii="Times New Roman" w:hAnsi="Times New Roman"/>
          <w:sz w:val="24"/>
          <w:szCs w:val="24"/>
        </w:rPr>
        <w:t>C</w:t>
      </w:r>
      <w:r>
        <w:rPr>
          <w:rFonts w:ascii="Times New Roman" w:hAnsi="Times New Roman"/>
          <w:sz w:val="24"/>
          <w:szCs w:val="24"/>
        </w:rPr>
        <w:t xml:space="preserve">hair of the Legislative Committee on Health Care, appointed members to the ACR 10 Task Force, to be </w:t>
      </w:r>
      <w:r w:rsidR="00BE7316">
        <w:rPr>
          <w:rFonts w:ascii="Times New Roman" w:hAnsi="Times New Roman"/>
          <w:sz w:val="24"/>
          <w:szCs w:val="24"/>
        </w:rPr>
        <w:t>C</w:t>
      </w:r>
      <w:r>
        <w:rPr>
          <w:rFonts w:ascii="Times New Roman" w:hAnsi="Times New Roman"/>
          <w:sz w:val="24"/>
          <w:szCs w:val="24"/>
        </w:rPr>
        <w:t>haired by Senator Valerie Wiener.</w:t>
      </w:r>
    </w:p>
    <w:p w14:paraId="134A59D0"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The ACR 10 Task Force met five times and considered more than 100 recommendations, submitted by independent work groups, experts, and the public. During the final meeting in October 2012, the ACR 10 Task Force approved the “State Plan to Address Alzheimer’s Disease” (2013), which contained 20 recommendations. These recommendations addressed: access to services; quality of care and quality of life; and public awareness regarding the disease.  Though the 2013 State Plan did not have a specific end date, the ACR 10 Task Force recognized the need to set clear timelines and strategies to achieve and revise the recommendations, as necessary.  </w:t>
      </w:r>
    </w:p>
    <w:p w14:paraId="266434A4" w14:textId="77777777" w:rsidR="00640854" w:rsidRDefault="00640854">
      <w:pPr>
        <w:pStyle w:val="Default"/>
        <w:rPr>
          <w:rFonts w:ascii="Times New Roman" w:eastAsia="Times New Roman" w:hAnsi="Times New Roman" w:cs="Times New Roman"/>
          <w:sz w:val="24"/>
          <w:szCs w:val="24"/>
        </w:rPr>
      </w:pPr>
    </w:p>
    <w:p w14:paraId="6D443445"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Chair </w:t>
      </w:r>
      <w:proofErr w:type="spellStart"/>
      <w:r>
        <w:rPr>
          <w:rFonts w:ascii="Times New Roman" w:hAnsi="Times New Roman"/>
          <w:sz w:val="24"/>
          <w:szCs w:val="24"/>
        </w:rPr>
        <w:t>Mastroluca</w:t>
      </w:r>
      <w:proofErr w:type="spellEnd"/>
      <w:r>
        <w:rPr>
          <w:rFonts w:ascii="Times New Roman" w:hAnsi="Times New Roman"/>
          <w:sz w:val="24"/>
          <w:szCs w:val="24"/>
        </w:rPr>
        <w:t xml:space="preserve"> also reserved a committee Bill Draft Request (BDR) to be used by the ACR 10 Task Force, and the Task Force used this BDR for Assembly Bill 80 to create the Task Force on Alzheimer’s Disease (TFAD). During the 2013 Legislative Session, with the passage of Assembly Bill 80, the Task Force on Alzheimer’s Disease (TFAD) was created within the Department of Health and Human Services (DHHS), under the Aging and Disability Services Division (ADSD). TFAD comprises ten members, who represent diverse backgrounds and interests in Alzheimer’s disease and other forms of dementia, including: medical professionals, caregivers, service providers, legislators, educators, policy developers, and the general public.</w:t>
      </w:r>
    </w:p>
    <w:p w14:paraId="556A917E" w14:textId="77777777" w:rsidR="00640854" w:rsidRDefault="00640854">
      <w:pPr>
        <w:pStyle w:val="Default"/>
        <w:rPr>
          <w:rFonts w:ascii="Times New Roman" w:eastAsia="Times New Roman" w:hAnsi="Times New Roman" w:cs="Times New Roman"/>
          <w:sz w:val="24"/>
          <w:szCs w:val="24"/>
        </w:rPr>
      </w:pPr>
    </w:p>
    <w:p w14:paraId="745C6BC2"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Though TFAD is only statutorily required to meet quarterly, TFAD members determined that the issues are so important that it is essential to meet bi-monthly. Continuing with its responsibility for developing, reviewing, and revising the State Plan, TFAD submitted its revised “State Plan to Address Alzheimer’s Disease” (2015) to the both Governor Brian Sandoval and State Legislators in January 2015. This State Plan included 20 recommendations, including suggested indicators and potential funding sources. TFAD also submitted an updated State Plan (with 16 </w:t>
      </w:r>
      <w:r>
        <w:rPr>
          <w:rFonts w:ascii="Times New Roman" w:hAnsi="Times New Roman"/>
          <w:sz w:val="24"/>
          <w:szCs w:val="24"/>
        </w:rPr>
        <w:lastRenderedPageBreak/>
        <w:t>recommendations, suggested indicators, and potential funding) to the Governor and Legislature in January 2017.</w:t>
      </w:r>
    </w:p>
    <w:p w14:paraId="189EDB47" w14:textId="77777777" w:rsidR="00640854" w:rsidRDefault="00640854">
      <w:pPr>
        <w:pStyle w:val="Default"/>
        <w:rPr>
          <w:rFonts w:ascii="Times New Roman" w:eastAsia="Times New Roman" w:hAnsi="Times New Roman" w:cs="Times New Roman"/>
          <w:sz w:val="24"/>
          <w:szCs w:val="24"/>
        </w:rPr>
      </w:pPr>
    </w:p>
    <w:p w14:paraId="214EF88E" w14:textId="42AD3779" w:rsidR="00640854" w:rsidRDefault="001F2BCD">
      <w:pPr>
        <w:pStyle w:val="Default"/>
        <w:rPr>
          <w:rFonts w:ascii="Times New Roman" w:hAnsi="Times New Roman"/>
          <w:sz w:val="24"/>
          <w:szCs w:val="24"/>
        </w:rPr>
      </w:pPr>
      <w:r>
        <w:rPr>
          <w:rFonts w:ascii="Times New Roman" w:hAnsi="Times New Roman"/>
          <w:sz w:val="24"/>
          <w:szCs w:val="24"/>
        </w:rPr>
        <w:t>Following the submission of the 2017 State Plan, TFAD began its work on the 2019 State Plan. This included the scheduling of timely and meaningful presentations to determine new recommendations, as well as updates to refine the language of ongoing recommendations included in the 2017 State Plan. TFAD also reviewed and evaluated which recommendations from the 2017 State Plan should be “retired” to the Appendix, because they have been—or are being—addressed.</w:t>
      </w:r>
      <w:r w:rsidR="008771C2">
        <w:rPr>
          <w:rFonts w:ascii="Times New Roman" w:hAnsi="Times New Roman"/>
          <w:sz w:val="24"/>
          <w:szCs w:val="24"/>
        </w:rPr>
        <w:t xml:space="preserve"> Again, between 2017 and 2018, TFAD reviewed the 2017 State Plan to determine which recommendations should be retained or retired to the Appendix and which new recommendations should be added.</w:t>
      </w:r>
    </w:p>
    <w:p w14:paraId="0A35E7E4" w14:textId="510DBB84" w:rsidR="00BD6C8A" w:rsidRDefault="00BD6C8A">
      <w:pPr>
        <w:pStyle w:val="Default"/>
        <w:rPr>
          <w:rFonts w:ascii="Times New Roman" w:eastAsia="Times New Roman" w:hAnsi="Times New Roman" w:cs="Times New Roman"/>
          <w:sz w:val="24"/>
          <w:szCs w:val="24"/>
        </w:rPr>
      </w:pPr>
    </w:p>
    <w:p w14:paraId="16DF9ECE" w14:textId="037A33BF" w:rsidR="00BD6C8A" w:rsidRDefault="00BD6C8A">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TFAD</w:t>
      </w:r>
      <w:r w:rsidR="002231E4">
        <w:rPr>
          <w:rFonts w:ascii="Times New Roman" w:eastAsia="Times New Roman" w:hAnsi="Times New Roman" w:cs="Times New Roman"/>
          <w:sz w:val="24"/>
          <w:szCs w:val="24"/>
        </w:rPr>
        <w:t xml:space="preserve"> adopted</w:t>
      </w:r>
      <w:r>
        <w:rPr>
          <w:rFonts w:ascii="Times New Roman" w:eastAsia="Times New Roman" w:hAnsi="Times New Roman" w:cs="Times New Roman"/>
          <w:sz w:val="24"/>
          <w:szCs w:val="24"/>
        </w:rPr>
        <w:t xml:space="preserve"> the 2019 State Plan in January 2019.</w:t>
      </w:r>
      <w:r w:rsidR="002231E4">
        <w:rPr>
          <w:rFonts w:ascii="Times New Roman" w:eastAsia="Times New Roman" w:hAnsi="Times New Roman" w:cs="Times New Roman"/>
          <w:sz w:val="24"/>
          <w:szCs w:val="24"/>
        </w:rPr>
        <w:t xml:space="preserve"> </w:t>
      </w:r>
      <w:r w:rsidR="002231E4">
        <w:rPr>
          <w:rFonts w:ascii="Times New Roman" w:hAnsi="Times New Roman"/>
          <w:sz w:val="24"/>
          <w:szCs w:val="24"/>
        </w:rPr>
        <w:t>The 2019 State Plan includes</w:t>
      </w:r>
      <w:r w:rsidR="002231E4">
        <w:rPr>
          <w:rFonts w:ascii="Times New Roman" w:hAnsi="Times New Roman"/>
          <w:iCs/>
          <w:color w:val="FF40FF"/>
          <w:sz w:val="24"/>
          <w:szCs w:val="24"/>
        </w:rPr>
        <w:t xml:space="preserve"> </w:t>
      </w:r>
      <w:r w:rsidR="002231E4" w:rsidRPr="00AD5EBE">
        <w:rPr>
          <w:rFonts w:ascii="Times New Roman" w:hAnsi="Times New Roman"/>
          <w:iCs/>
          <w:color w:val="auto"/>
          <w:sz w:val="24"/>
          <w:szCs w:val="24"/>
        </w:rPr>
        <w:t>17</w:t>
      </w:r>
      <w:r w:rsidR="002231E4">
        <w:rPr>
          <w:rFonts w:ascii="Times New Roman" w:hAnsi="Times New Roman"/>
          <w:sz w:val="24"/>
          <w:szCs w:val="24"/>
        </w:rPr>
        <w:t xml:space="preserve"> recommendations; </w:t>
      </w:r>
      <w:r w:rsidR="002231E4">
        <w:rPr>
          <w:rFonts w:ascii="Times New Roman" w:hAnsi="Times New Roman"/>
          <w:iCs/>
          <w:color w:val="auto"/>
          <w:sz w:val="24"/>
          <w:szCs w:val="24"/>
        </w:rPr>
        <w:t>four</w:t>
      </w:r>
      <w:r w:rsidR="002231E4">
        <w:rPr>
          <w:rFonts w:ascii="Times New Roman" w:hAnsi="Times New Roman"/>
          <w:sz w:val="24"/>
          <w:szCs w:val="24"/>
        </w:rPr>
        <w:t xml:space="preserve"> of these are new recommendations. Each recommendation includes indicators and potential funding sources. Also, the 2019 State Plan includes Appendix A </w:t>
      </w:r>
      <w:r w:rsidR="002231E4" w:rsidRPr="001D2B30">
        <w:rPr>
          <w:rFonts w:ascii="Times New Roman" w:hAnsi="Times New Roman"/>
          <w:sz w:val="24"/>
          <w:szCs w:val="24"/>
        </w:rPr>
        <w:t>(</w:t>
      </w:r>
      <w:r w:rsidR="002231E4" w:rsidRPr="00AD5EBE">
        <w:rPr>
          <w:rFonts w:ascii="Times New Roman" w:hAnsi="Times New Roman"/>
          <w:iCs/>
          <w:color w:val="auto"/>
          <w:sz w:val="24"/>
          <w:szCs w:val="24"/>
        </w:rPr>
        <w:t>t</w:t>
      </w:r>
      <w:r w:rsidR="002231E4">
        <w:rPr>
          <w:rFonts w:ascii="Times New Roman" w:hAnsi="Times New Roman"/>
          <w:iCs/>
          <w:color w:val="auto"/>
          <w:sz w:val="24"/>
          <w:szCs w:val="24"/>
        </w:rPr>
        <w:t>hree</w:t>
      </w:r>
      <w:r w:rsidR="002231E4" w:rsidRPr="00AD5EBE">
        <w:rPr>
          <w:rFonts w:ascii="Times New Roman" w:hAnsi="Times New Roman"/>
          <w:color w:val="auto"/>
          <w:sz w:val="24"/>
          <w:szCs w:val="24"/>
        </w:rPr>
        <w:t xml:space="preserve"> recommendations </w:t>
      </w:r>
      <w:r w:rsidR="002231E4">
        <w:rPr>
          <w:rFonts w:ascii="Times New Roman" w:hAnsi="Times New Roman"/>
          <w:sz w:val="24"/>
          <w:szCs w:val="24"/>
        </w:rPr>
        <w:t>retired from the 2017 State Plan) and Appendix B (Resources).</w:t>
      </w:r>
      <w:r>
        <w:rPr>
          <w:rFonts w:ascii="Times New Roman" w:eastAsia="Times New Roman" w:hAnsi="Times New Roman" w:cs="Times New Roman"/>
          <w:sz w:val="24"/>
          <w:szCs w:val="24"/>
        </w:rPr>
        <w:t xml:space="preserve"> </w:t>
      </w:r>
    </w:p>
    <w:p w14:paraId="6DA2172E" w14:textId="605C7374" w:rsidR="00640854" w:rsidRDefault="00640854">
      <w:pPr>
        <w:pStyle w:val="Default"/>
        <w:rPr>
          <w:rFonts w:ascii="Times New Roman" w:eastAsia="Times New Roman" w:hAnsi="Times New Roman" w:cs="Times New Roman"/>
          <w:sz w:val="24"/>
          <w:szCs w:val="24"/>
        </w:rPr>
      </w:pPr>
    </w:p>
    <w:p w14:paraId="55C60514" w14:textId="061BC4F4" w:rsidR="002231E4" w:rsidRDefault="002231E4">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In terms of leadership, in mid-2019, Senator Valerie Wiener (ret.) stepped down as Chair of TFAD (July 2019) and Dr. Peter Reed was elected as Chair. In September 2019, Tina Dortch was elected Vice-Chair.</w:t>
      </w:r>
    </w:p>
    <w:p w14:paraId="0E78C7E4" w14:textId="77777777" w:rsidR="002231E4" w:rsidRDefault="002231E4">
      <w:pPr>
        <w:pStyle w:val="Default"/>
        <w:rPr>
          <w:rFonts w:ascii="Times New Roman" w:eastAsia="Times New Roman" w:hAnsi="Times New Roman" w:cs="Times New Roman"/>
          <w:sz w:val="24"/>
          <w:szCs w:val="24"/>
        </w:rPr>
      </w:pPr>
    </w:p>
    <w:p w14:paraId="7E60375E" w14:textId="77777777" w:rsidR="00640854" w:rsidRDefault="001F2BCD">
      <w:pPr>
        <w:pStyle w:val="Default"/>
        <w:rPr>
          <w:rFonts w:ascii="Times New Roman" w:eastAsia="Times New Roman" w:hAnsi="Times New Roman" w:cs="Times New Roman"/>
          <w:b/>
          <w:bCs/>
          <w:i/>
          <w:iCs/>
          <w:sz w:val="28"/>
          <w:szCs w:val="28"/>
          <w:u w:val="single"/>
        </w:rPr>
      </w:pPr>
      <w:r>
        <w:rPr>
          <w:rFonts w:ascii="Times New Roman" w:hAnsi="Times New Roman"/>
          <w:b/>
          <w:bCs/>
          <w:i/>
          <w:iCs/>
          <w:sz w:val="28"/>
          <w:szCs w:val="28"/>
          <w:u w:val="single"/>
        </w:rPr>
        <w:t>Legislative Successes</w:t>
      </w:r>
    </w:p>
    <w:p w14:paraId="4C39147F"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 xml:space="preserve">Though TFAD has no authority to introduce legislation, during the </w:t>
      </w:r>
      <w:r>
        <w:rPr>
          <w:rFonts w:ascii="Times New Roman" w:hAnsi="Times New Roman"/>
          <w:b/>
          <w:bCs/>
          <w:sz w:val="24"/>
          <w:szCs w:val="24"/>
        </w:rPr>
        <w:t>2013 Legislative Session</w:t>
      </w:r>
      <w:r>
        <w:rPr>
          <w:rFonts w:ascii="Times New Roman" w:hAnsi="Times New Roman"/>
          <w:sz w:val="24"/>
          <w:szCs w:val="24"/>
        </w:rPr>
        <w:t xml:space="preserve">, three recommendations in the 2013 State Plan were supported by both the Legislature and Governor Sandoval. These include: </w:t>
      </w:r>
    </w:p>
    <w:p w14:paraId="44D43603" w14:textId="77777777" w:rsidR="00640854" w:rsidRDefault="00640854">
      <w:pPr>
        <w:pStyle w:val="Default"/>
        <w:rPr>
          <w:rFonts w:ascii="Times New Roman" w:eastAsia="Times New Roman" w:hAnsi="Times New Roman" w:cs="Times New Roman"/>
          <w:sz w:val="24"/>
          <w:szCs w:val="24"/>
        </w:rPr>
      </w:pPr>
    </w:p>
    <w:p w14:paraId="1C28DDD2" w14:textId="77777777" w:rsidR="00640854" w:rsidRDefault="001F2BCD">
      <w:pPr>
        <w:pStyle w:val="Default"/>
        <w:jc w:val="both"/>
        <w:rPr>
          <w:rFonts w:ascii="Times New Roman" w:eastAsia="Times New Roman" w:hAnsi="Times New Roman" w:cs="Times New Roman"/>
          <w:sz w:val="24"/>
          <w:szCs w:val="24"/>
        </w:rPr>
      </w:pPr>
      <w:r>
        <w:rPr>
          <w:rFonts w:ascii="Times New Roman" w:hAnsi="Times New Roman"/>
          <w:i/>
          <w:iCs/>
          <w:sz w:val="24"/>
          <w:szCs w:val="24"/>
        </w:rPr>
        <w:t>Assembly Bill 80</w:t>
      </w:r>
      <w:r>
        <w:rPr>
          <w:rFonts w:ascii="Times New Roman" w:hAnsi="Times New Roman"/>
          <w:sz w:val="24"/>
          <w:szCs w:val="24"/>
        </w:rPr>
        <w:t xml:space="preserve"> created the Task Force on Alzheimer’s Disease within the Department of Health and Human Services. Passed.</w:t>
      </w:r>
    </w:p>
    <w:p w14:paraId="66D274C3" w14:textId="77777777" w:rsidR="00640854" w:rsidRDefault="00640854">
      <w:pPr>
        <w:pStyle w:val="Default"/>
        <w:jc w:val="both"/>
        <w:rPr>
          <w:rFonts w:ascii="Times New Roman" w:eastAsia="Times New Roman" w:hAnsi="Times New Roman" w:cs="Times New Roman"/>
          <w:sz w:val="24"/>
          <w:szCs w:val="24"/>
        </w:rPr>
      </w:pPr>
    </w:p>
    <w:p w14:paraId="32D654E0" w14:textId="77777777" w:rsidR="00640854" w:rsidRDefault="001F2BCD">
      <w:pPr>
        <w:pStyle w:val="Default"/>
        <w:jc w:val="both"/>
        <w:rPr>
          <w:rFonts w:ascii="Times New Roman" w:eastAsia="Times New Roman" w:hAnsi="Times New Roman" w:cs="Times New Roman"/>
          <w:sz w:val="24"/>
          <w:szCs w:val="24"/>
        </w:rPr>
      </w:pPr>
      <w:r>
        <w:rPr>
          <w:rFonts w:ascii="Times New Roman" w:hAnsi="Times New Roman"/>
          <w:i/>
          <w:iCs/>
          <w:sz w:val="24"/>
          <w:szCs w:val="24"/>
        </w:rPr>
        <w:lastRenderedPageBreak/>
        <w:t>Senate Bill 86</w:t>
      </w:r>
      <w:r>
        <w:rPr>
          <w:rFonts w:ascii="Times New Roman" w:hAnsi="Times New Roman"/>
          <w:sz w:val="24"/>
          <w:szCs w:val="24"/>
        </w:rPr>
        <w:t xml:space="preserve"> required Department of Health and Human Services to allocate money for certain programs (e.g., respite care) relating to persons with Alzheimer’s disease and other forms of dementia. Passed.</w:t>
      </w:r>
    </w:p>
    <w:p w14:paraId="6382EEC3" w14:textId="77777777" w:rsidR="00640854" w:rsidRDefault="00640854">
      <w:pPr>
        <w:pStyle w:val="Default"/>
        <w:jc w:val="both"/>
        <w:rPr>
          <w:rFonts w:ascii="Times New Roman" w:eastAsia="Times New Roman" w:hAnsi="Times New Roman" w:cs="Times New Roman"/>
          <w:i/>
          <w:iCs/>
          <w:sz w:val="24"/>
          <w:szCs w:val="24"/>
        </w:rPr>
      </w:pPr>
    </w:p>
    <w:p w14:paraId="310EA36E" w14:textId="77777777" w:rsidR="00640854" w:rsidRDefault="001F2BCD">
      <w:pPr>
        <w:pStyle w:val="Default"/>
        <w:jc w:val="both"/>
        <w:rPr>
          <w:rFonts w:ascii="Times New Roman" w:eastAsia="Times New Roman" w:hAnsi="Times New Roman" w:cs="Times New Roman"/>
          <w:i/>
          <w:iCs/>
          <w:sz w:val="24"/>
          <w:szCs w:val="24"/>
        </w:rPr>
      </w:pPr>
      <w:r>
        <w:rPr>
          <w:rFonts w:ascii="Times New Roman" w:hAnsi="Times New Roman"/>
          <w:i/>
          <w:iCs/>
          <w:sz w:val="24"/>
          <w:szCs w:val="24"/>
        </w:rPr>
        <w:t xml:space="preserve">Senate Bill 69 </w:t>
      </w:r>
      <w:r>
        <w:rPr>
          <w:rFonts w:ascii="Times New Roman" w:hAnsi="Times New Roman"/>
          <w:sz w:val="24"/>
          <w:szCs w:val="24"/>
        </w:rPr>
        <w:t xml:space="preserve">proposed revision to the requirements governing Advance Practitioners of Nursing, including independent licensure of APNs. Though the bill proposed the ACR 10 Task Force did not proceed, </w:t>
      </w:r>
      <w:r>
        <w:rPr>
          <w:rFonts w:ascii="Times New Roman" w:hAnsi="Times New Roman"/>
          <w:i/>
          <w:iCs/>
          <w:sz w:val="24"/>
          <w:szCs w:val="24"/>
        </w:rPr>
        <w:t xml:space="preserve">Assembly Bill 170, </w:t>
      </w:r>
      <w:r>
        <w:rPr>
          <w:rFonts w:ascii="Times New Roman" w:hAnsi="Times New Roman"/>
          <w:sz w:val="24"/>
          <w:szCs w:val="24"/>
        </w:rPr>
        <w:t xml:space="preserve">which proposed revisions related to the Advanced Practice Registered </w:t>
      </w:r>
      <w:r>
        <w:rPr>
          <w:rFonts w:ascii="Times New Roman" w:hAnsi="Times New Roman"/>
          <w:sz w:val="24"/>
          <w:szCs w:val="24"/>
          <w:lang w:val="de-DE"/>
        </w:rPr>
        <w:t>Nurs</w:t>
      </w:r>
      <w:r>
        <w:rPr>
          <w:rFonts w:ascii="Times New Roman" w:hAnsi="Times New Roman"/>
          <w:sz w:val="24"/>
          <w:szCs w:val="24"/>
        </w:rPr>
        <w:t>e (APRN) did receive legislative support. This measure, which addressed the essence of AB 170, allowed APRNs to establish independent practices to provide better access to care. Passed.</w:t>
      </w:r>
    </w:p>
    <w:p w14:paraId="19A07EB7" w14:textId="77777777" w:rsidR="00640854" w:rsidRDefault="00640854">
      <w:pPr>
        <w:pStyle w:val="Default"/>
        <w:rPr>
          <w:rFonts w:ascii="Arial" w:eastAsia="Arial" w:hAnsi="Arial" w:cs="Arial"/>
        </w:rPr>
      </w:pPr>
    </w:p>
    <w:p w14:paraId="3D29FE75" w14:textId="77777777" w:rsidR="00640854" w:rsidRDefault="001F2BCD">
      <w:pPr>
        <w:pStyle w:val="Body"/>
        <w:rPr>
          <w:rFonts w:ascii="Times New Roman" w:eastAsia="Times New Roman" w:hAnsi="Times New Roman" w:cs="Times New Roman"/>
          <w:sz w:val="24"/>
          <w:szCs w:val="24"/>
        </w:rPr>
      </w:pPr>
      <w:r>
        <w:rPr>
          <w:rFonts w:ascii="Times New Roman" w:hAnsi="Times New Roman"/>
          <w:sz w:val="24"/>
          <w:szCs w:val="24"/>
        </w:rPr>
        <w:t xml:space="preserve">Two years later, during the </w:t>
      </w:r>
      <w:r>
        <w:rPr>
          <w:rFonts w:ascii="Times New Roman" w:hAnsi="Times New Roman"/>
          <w:b/>
          <w:bCs/>
          <w:sz w:val="24"/>
          <w:szCs w:val="24"/>
        </w:rPr>
        <w:t>2015 Legislative Session</w:t>
      </w:r>
      <w:r>
        <w:rPr>
          <w:rFonts w:ascii="Times New Roman" w:hAnsi="Times New Roman"/>
          <w:sz w:val="24"/>
          <w:szCs w:val="24"/>
        </w:rPr>
        <w:t xml:space="preserve">, </w:t>
      </w:r>
      <w:r>
        <w:rPr>
          <w:rFonts w:ascii="Times New Roman" w:hAnsi="Times New Roman"/>
          <w:i/>
          <w:iCs/>
          <w:sz w:val="24"/>
          <w:szCs w:val="24"/>
          <w:u w:val="single"/>
        </w:rPr>
        <w:t>six</w:t>
      </w:r>
      <w:r>
        <w:rPr>
          <w:rFonts w:ascii="Times New Roman" w:hAnsi="Times New Roman"/>
          <w:sz w:val="24"/>
          <w:szCs w:val="24"/>
        </w:rPr>
        <w:t xml:space="preserve"> of the 20 recommendations in the 2015 State Plan were addressed legislatively:</w:t>
      </w:r>
    </w:p>
    <w:p w14:paraId="0F13AF64" w14:textId="77777777" w:rsidR="00640854" w:rsidRDefault="00640854">
      <w:pPr>
        <w:pStyle w:val="Body"/>
        <w:rPr>
          <w:rFonts w:ascii="Times New Roman" w:eastAsia="Times New Roman" w:hAnsi="Times New Roman" w:cs="Times New Roman"/>
          <w:b/>
          <w:bCs/>
          <w:i/>
          <w:iCs/>
          <w:sz w:val="24"/>
          <w:szCs w:val="24"/>
        </w:rPr>
      </w:pPr>
    </w:p>
    <w:p w14:paraId="013C3D7D" w14:textId="77777777" w:rsidR="00640854" w:rsidRDefault="001F2BCD">
      <w:pPr>
        <w:pStyle w:val="Body"/>
        <w:rPr>
          <w:rFonts w:ascii="Times New Roman" w:eastAsia="Times New Roman" w:hAnsi="Times New Roman" w:cs="Times New Roman"/>
          <w:sz w:val="24"/>
          <w:szCs w:val="24"/>
        </w:rPr>
      </w:pPr>
      <w:r>
        <w:rPr>
          <w:rFonts w:ascii="Times New Roman" w:hAnsi="Times New Roman"/>
          <w:i/>
          <w:iCs/>
          <w:sz w:val="24"/>
          <w:szCs w:val="24"/>
        </w:rPr>
        <w:t>Assembly Bill 9</w:t>
      </w:r>
      <w:r>
        <w:rPr>
          <w:rFonts w:ascii="Times New Roman" w:hAnsi="Times New Roman"/>
          <w:sz w:val="24"/>
          <w:szCs w:val="24"/>
        </w:rPr>
        <w:t xml:space="preserve"> focused on guardianships and addressed concerns about accounting for assets under $10,000. Did not pass.</w:t>
      </w:r>
    </w:p>
    <w:p w14:paraId="7F0F93B0" w14:textId="77777777" w:rsidR="00640854" w:rsidRDefault="00640854">
      <w:pPr>
        <w:pStyle w:val="Body"/>
        <w:rPr>
          <w:rFonts w:ascii="Times New Roman" w:eastAsia="Times New Roman" w:hAnsi="Times New Roman" w:cs="Times New Roman"/>
          <w:sz w:val="24"/>
          <w:szCs w:val="24"/>
        </w:rPr>
      </w:pPr>
    </w:p>
    <w:p w14:paraId="13A1B862" w14:textId="6F1C3631" w:rsidR="00640854" w:rsidRDefault="001F2BCD">
      <w:pPr>
        <w:pStyle w:val="Body"/>
        <w:rPr>
          <w:rFonts w:ascii="Times New Roman" w:eastAsia="Times New Roman" w:hAnsi="Times New Roman" w:cs="Times New Roman"/>
          <w:sz w:val="24"/>
          <w:szCs w:val="24"/>
        </w:rPr>
      </w:pPr>
      <w:r>
        <w:rPr>
          <w:rFonts w:ascii="Times New Roman" w:hAnsi="Times New Roman"/>
          <w:sz w:val="24"/>
          <w:szCs w:val="24"/>
        </w:rPr>
        <w:t>Note: TFAD included a new recommendation in the 2017 State Plan that supports the “Guardianship Bill of Rights” (particularly the protections for individuals with Alzheimer’s disease and other forms of dementia), which was created by the Commission to Study the Administration of Guardianships in Nevada Courts.</w:t>
      </w:r>
    </w:p>
    <w:p w14:paraId="3E2B46C4" w14:textId="77777777" w:rsidR="00640854" w:rsidRDefault="00640854">
      <w:pPr>
        <w:pStyle w:val="Body"/>
        <w:rPr>
          <w:rFonts w:ascii="Times New Roman" w:eastAsia="Times New Roman" w:hAnsi="Times New Roman" w:cs="Times New Roman"/>
          <w:sz w:val="24"/>
          <w:szCs w:val="24"/>
        </w:rPr>
      </w:pPr>
    </w:p>
    <w:p w14:paraId="1D46ABC4" w14:textId="77777777" w:rsidR="00640854" w:rsidRDefault="001F2BCD">
      <w:pPr>
        <w:pStyle w:val="Body"/>
        <w:rPr>
          <w:rFonts w:ascii="Times New Roman" w:eastAsia="Times New Roman" w:hAnsi="Times New Roman" w:cs="Times New Roman"/>
          <w:sz w:val="24"/>
          <w:szCs w:val="24"/>
        </w:rPr>
      </w:pPr>
      <w:r>
        <w:rPr>
          <w:rFonts w:ascii="Times New Roman" w:hAnsi="Times New Roman"/>
          <w:i/>
          <w:iCs/>
          <w:sz w:val="24"/>
          <w:szCs w:val="24"/>
        </w:rPr>
        <w:t xml:space="preserve">Senate Bill 177 </w:t>
      </w:r>
      <w:r>
        <w:rPr>
          <w:rFonts w:ascii="Times New Roman" w:hAnsi="Times New Roman"/>
          <w:sz w:val="24"/>
          <w:szCs w:val="24"/>
        </w:rPr>
        <w:t>addressed the continuity of caregiver support for persons being discharged from hospitals or moved to other facilities. This was major legislation for AARP and incorporated key provisions addressed in the 2015 State Plan. Passed.</w:t>
      </w:r>
    </w:p>
    <w:p w14:paraId="3B383A85" w14:textId="77777777" w:rsidR="00640854" w:rsidRDefault="00640854">
      <w:pPr>
        <w:pStyle w:val="Body"/>
        <w:rPr>
          <w:rFonts w:ascii="Times New Roman" w:eastAsia="Times New Roman" w:hAnsi="Times New Roman" w:cs="Times New Roman"/>
          <w:sz w:val="24"/>
          <w:szCs w:val="24"/>
        </w:rPr>
      </w:pPr>
    </w:p>
    <w:p w14:paraId="7729E29F" w14:textId="77777777" w:rsidR="00640854" w:rsidRDefault="001F2BCD">
      <w:pPr>
        <w:pStyle w:val="Body"/>
        <w:rPr>
          <w:rFonts w:ascii="Times New Roman" w:eastAsia="Times New Roman" w:hAnsi="Times New Roman" w:cs="Times New Roman"/>
          <w:sz w:val="24"/>
          <w:szCs w:val="24"/>
        </w:rPr>
      </w:pPr>
      <w:r>
        <w:rPr>
          <w:rFonts w:ascii="Times New Roman" w:hAnsi="Times New Roman"/>
          <w:i/>
          <w:iCs/>
          <w:sz w:val="24"/>
          <w:szCs w:val="24"/>
        </w:rPr>
        <w:t>Senate Concurrent Resolution 2</w:t>
      </w:r>
      <w:r>
        <w:rPr>
          <w:rFonts w:ascii="Times New Roman" w:hAnsi="Times New Roman"/>
          <w:sz w:val="24"/>
          <w:szCs w:val="24"/>
        </w:rPr>
        <w:t xml:space="preserve"> addressed four of the 20 recommendations in the 2015 State Plan, which strongly “urged and encouraged” specific training for medical care providers and first responders regarding care for persons with Alzheimer’s disease and other forms of dementia. Passed.</w:t>
      </w:r>
    </w:p>
    <w:p w14:paraId="1CE7D397" w14:textId="77777777" w:rsidR="00640854" w:rsidRDefault="00640854">
      <w:pPr>
        <w:pStyle w:val="Body"/>
        <w:rPr>
          <w:rFonts w:ascii="Times New Roman" w:eastAsia="Times New Roman" w:hAnsi="Times New Roman" w:cs="Times New Roman"/>
          <w:sz w:val="24"/>
          <w:szCs w:val="24"/>
        </w:rPr>
      </w:pPr>
    </w:p>
    <w:p w14:paraId="04AD1C01" w14:textId="77777777" w:rsidR="00640854" w:rsidRDefault="001F2BCD">
      <w:pPr>
        <w:pStyle w:val="Body"/>
        <w:rPr>
          <w:rFonts w:ascii="Times New Roman" w:eastAsia="Times New Roman" w:hAnsi="Times New Roman" w:cs="Times New Roman"/>
          <w:sz w:val="24"/>
          <w:szCs w:val="24"/>
        </w:rPr>
      </w:pPr>
      <w:r>
        <w:rPr>
          <w:rFonts w:ascii="Times New Roman" w:hAnsi="Times New Roman"/>
          <w:i/>
          <w:iCs/>
          <w:sz w:val="24"/>
          <w:szCs w:val="24"/>
        </w:rPr>
        <w:t>Senate Bill 196</w:t>
      </w:r>
      <w:r>
        <w:rPr>
          <w:rFonts w:ascii="Times New Roman" w:hAnsi="Times New Roman"/>
          <w:sz w:val="24"/>
          <w:szCs w:val="24"/>
        </w:rPr>
        <w:t xml:space="preserve"> included a section that authorizes health licensing entities to allow continuing education credits in education related to Alzheimer’s disease. Passed.</w:t>
      </w:r>
    </w:p>
    <w:p w14:paraId="0018052B" w14:textId="77777777" w:rsidR="00640854" w:rsidRDefault="00640854">
      <w:pPr>
        <w:pStyle w:val="Body"/>
        <w:rPr>
          <w:rFonts w:ascii="Times New Roman" w:eastAsia="Times New Roman" w:hAnsi="Times New Roman" w:cs="Times New Roman"/>
          <w:sz w:val="24"/>
          <w:szCs w:val="24"/>
        </w:rPr>
      </w:pPr>
    </w:p>
    <w:p w14:paraId="348AFBF1" w14:textId="725F8B5F" w:rsidR="00640854" w:rsidRDefault="001F2BCD">
      <w:pPr>
        <w:pStyle w:val="Body"/>
        <w:rPr>
          <w:rFonts w:ascii="Times New Roman" w:hAnsi="Times New Roman"/>
          <w:sz w:val="24"/>
          <w:szCs w:val="24"/>
        </w:rPr>
      </w:pPr>
      <w:r>
        <w:rPr>
          <w:rFonts w:ascii="Times New Roman" w:hAnsi="Times New Roman"/>
          <w:sz w:val="24"/>
          <w:szCs w:val="24"/>
        </w:rPr>
        <w:t xml:space="preserve">During the </w:t>
      </w:r>
      <w:r>
        <w:rPr>
          <w:rFonts w:ascii="Times New Roman" w:hAnsi="Times New Roman"/>
          <w:b/>
          <w:bCs/>
          <w:sz w:val="24"/>
          <w:szCs w:val="24"/>
        </w:rPr>
        <w:t>2017 Legislative Session</w:t>
      </w:r>
      <w:r>
        <w:rPr>
          <w:rFonts w:ascii="Times New Roman" w:hAnsi="Times New Roman"/>
          <w:sz w:val="24"/>
          <w:szCs w:val="24"/>
        </w:rPr>
        <w:t xml:space="preserve">, TFAD followed many legislative measures that directly or indirectly affect persons with Alzheimer’s disease and other forms of dementia. Of particular interest, however, was the passage of </w:t>
      </w:r>
      <w:r>
        <w:rPr>
          <w:rFonts w:ascii="Times New Roman" w:hAnsi="Times New Roman"/>
          <w:i/>
          <w:iCs/>
          <w:sz w:val="24"/>
          <w:szCs w:val="24"/>
        </w:rPr>
        <w:t>Senate Bill 92,</w:t>
      </w:r>
      <w:r>
        <w:rPr>
          <w:rFonts w:ascii="Times New Roman" w:hAnsi="Times New Roman"/>
          <w:sz w:val="24"/>
          <w:szCs w:val="24"/>
        </w:rPr>
        <w:t xml:space="preserve"> sponsored by TFAD member Senator Joseph Hardy, which removed the sunset on the Task Force on Alzheimer’s Disease. We are very grateful for the overwhelming legislative and gubernatorial support </w:t>
      </w:r>
      <w:r>
        <w:rPr>
          <w:rFonts w:ascii="Times New Roman" w:hAnsi="Times New Roman"/>
          <w:sz w:val="24"/>
          <w:szCs w:val="24"/>
          <w:u w:val="single"/>
        </w:rPr>
        <w:t>and</w:t>
      </w:r>
      <w:r>
        <w:rPr>
          <w:rFonts w:ascii="Times New Roman" w:hAnsi="Times New Roman"/>
          <w:sz w:val="24"/>
          <w:szCs w:val="24"/>
        </w:rPr>
        <w:t xml:space="preserve"> for Governor Sandoval’s decision to select Senate Bill 92 as the first bill of the 2017 Legislative Session to sign into law!</w:t>
      </w:r>
    </w:p>
    <w:p w14:paraId="5672A755" w14:textId="078A5068" w:rsidR="002231E4" w:rsidRDefault="002231E4">
      <w:pPr>
        <w:pStyle w:val="Body"/>
        <w:rPr>
          <w:rFonts w:ascii="Times New Roman" w:eastAsia="Times New Roman" w:hAnsi="Times New Roman" w:cs="Times New Roman"/>
          <w:sz w:val="24"/>
          <w:szCs w:val="24"/>
        </w:rPr>
      </w:pPr>
    </w:p>
    <w:p w14:paraId="603B682B" w14:textId="12FC0D8D" w:rsidR="002231E4" w:rsidRDefault="002231E4">
      <w:pPr>
        <w:pStyle w:val="Body"/>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w:t>
      </w:r>
      <w:r>
        <w:rPr>
          <w:rFonts w:ascii="Times New Roman" w:eastAsia="Times New Roman" w:hAnsi="Times New Roman" w:cs="Times New Roman"/>
          <w:b/>
          <w:sz w:val="24"/>
          <w:szCs w:val="24"/>
        </w:rPr>
        <w:t xml:space="preserve">2019 Legislative Session, </w:t>
      </w:r>
      <w:r>
        <w:rPr>
          <w:rFonts w:ascii="Times New Roman" w:eastAsia="Times New Roman" w:hAnsi="Times New Roman" w:cs="Times New Roman"/>
          <w:sz w:val="24"/>
          <w:szCs w:val="24"/>
        </w:rPr>
        <w:t xml:space="preserve">TFAD </w:t>
      </w:r>
      <w:r w:rsidR="00EA5970">
        <w:rPr>
          <w:rFonts w:ascii="Times New Roman" w:eastAsia="Times New Roman" w:hAnsi="Times New Roman" w:cs="Times New Roman"/>
          <w:sz w:val="24"/>
          <w:szCs w:val="24"/>
        </w:rPr>
        <w:t xml:space="preserve">identified and monitored the progress of a range of bills that were related to Alzheimer’s disease. Below is a complete review of Alzheimer’s-related bills created for TFAD by Homa Woodrum, </w:t>
      </w:r>
      <w:r w:rsidR="00EA5970" w:rsidRPr="00EA5970">
        <w:rPr>
          <w:rFonts w:ascii="Times New Roman" w:hAnsi="Times New Roman" w:cs="Times New Roman"/>
          <w:sz w:val="24"/>
        </w:rPr>
        <w:t>Attorney for the Rights of Older Persons, Persons with a Physical Disability, an</w:t>
      </w:r>
      <w:r w:rsidR="00EA5970">
        <w:rPr>
          <w:rFonts w:ascii="Times New Roman" w:hAnsi="Times New Roman" w:cs="Times New Roman"/>
          <w:sz w:val="24"/>
        </w:rPr>
        <w:t>d</w:t>
      </w:r>
      <w:r w:rsidR="00EA5970" w:rsidRPr="00EA5970">
        <w:rPr>
          <w:rFonts w:ascii="Times New Roman" w:hAnsi="Times New Roman" w:cs="Times New Roman"/>
          <w:sz w:val="24"/>
        </w:rPr>
        <w:t xml:space="preserve"> Intellectual Disability or a Related Condition</w:t>
      </w:r>
      <w:r w:rsidR="00EA5970">
        <w:rPr>
          <w:rFonts w:ascii="Times New Roman" w:hAnsi="Times New Roman" w:cs="Times New Roman"/>
          <w:sz w:val="24"/>
        </w:rPr>
        <w:t>,</w:t>
      </w:r>
      <w:r w:rsidR="00EA5970" w:rsidRPr="00EA5970">
        <w:rPr>
          <w:rFonts w:ascii="Times New Roman" w:hAnsi="Times New Roman" w:cs="Times New Roman"/>
          <w:sz w:val="24"/>
        </w:rPr>
        <w:t xml:space="preserve"> </w:t>
      </w:r>
      <w:r w:rsidR="00EA5970">
        <w:rPr>
          <w:rFonts w:ascii="Times New Roman" w:hAnsi="Times New Roman" w:cs="Times New Roman"/>
          <w:sz w:val="24"/>
        </w:rPr>
        <w:t xml:space="preserve">Nevada </w:t>
      </w:r>
      <w:r w:rsidR="00EA5970" w:rsidRPr="00EA5970">
        <w:rPr>
          <w:rFonts w:ascii="Times New Roman" w:hAnsi="Times New Roman" w:cs="Times New Roman"/>
          <w:sz w:val="24"/>
        </w:rPr>
        <w:t>Aging and Disability Services Division.</w:t>
      </w:r>
      <w:r w:rsidR="00EA5970">
        <w:rPr>
          <w:rFonts w:ascii="Times New Roman" w:eastAsia="Times New Roman" w:hAnsi="Times New Roman" w:cs="Times New Roman"/>
          <w:sz w:val="24"/>
          <w:szCs w:val="24"/>
        </w:rPr>
        <w:t xml:space="preserve"> In addition, TFAD Chair, Senator Valerie Wiener provided testimony related to two bills relevant to the recommendations in the </w:t>
      </w:r>
      <w:r w:rsidR="00EA5970" w:rsidRPr="00EA5970">
        <w:rPr>
          <w:rFonts w:ascii="Times New Roman" w:eastAsia="Times New Roman" w:hAnsi="Times New Roman" w:cs="Times New Roman"/>
          <w:i/>
          <w:sz w:val="24"/>
          <w:szCs w:val="24"/>
        </w:rPr>
        <w:t>Nevada State Plan to Address Alzheimer’s Disease</w:t>
      </w:r>
      <w:r w:rsidR="00EA5970">
        <w:rPr>
          <w:rFonts w:ascii="Times New Roman" w:eastAsia="Times New Roman" w:hAnsi="Times New Roman" w:cs="Times New Roman"/>
          <w:sz w:val="24"/>
          <w:szCs w:val="24"/>
        </w:rPr>
        <w:t xml:space="preserve"> and the work of TFAD, including: SB 121 – Fiduciaries for Persons with Dementia and SB102 – Education Funding for APRNs. </w:t>
      </w:r>
    </w:p>
    <w:p w14:paraId="01C15645" w14:textId="711756A0" w:rsidR="00EA5970" w:rsidRDefault="00EA5970">
      <w:pPr>
        <w:pStyle w:val="Body"/>
        <w:rPr>
          <w:rFonts w:ascii="Times New Roman" w:eastAsia="Times New Roman" w:hAnsi="Times New Roman" w:cs="Times New Roman"/>
          <w:sz w:val="24"/>
          <w:szCs w:val="24"/>
        </w:rPr>
      </w:pPr>
    </w:p>
    <w:p w14:paraId="276335DC" w14:textId="75EEAA62" w:rsidR="00EA5970" w:rsidRPr="00EA5970" w:rsidRDefault="00EA5970">
      <w:pPr>
        <w:pStyle w:val="Body"/>
        <w:rPr>
          <w:rFonts w:ascii="Times New Roman" w:eastAsia="Times New Roman" w:hAnsi="Times New Roman" w:cs="Times New Roman"/>
          <w:sz w:val="24"/>
          <w:szCs w:val="24"/>
          <w:u w:val="single"/>
        </w:rPr>
      </w:pPr>
      <w:r w:rsidRPr="00EA5970">
        <w:rPr>
          <w:rFonts w:ascii="Times New Roman" w:eastAsia="Times New Roman" w:hAnsi="Times New Roman" w:cs="Times New Roman"/>
          <w:sz w:val="24"/>
          <w:szCs w:val="24"/>
          <w:u w:val="single"/>
        </w:rPr>
        <w:t xml:space="preserve">Alzheimer’s-related bills tracked </w:t>
      </w:r>
      <w:r w:rsidR="00033346">
        <w:rPr>
          <w:rFonts w:ascii="Times New Roman" w:eastAsia="Times New Roman" w:hAnsi="Times New Roman" w:cs="Times New Roman"/>
          <w:sz w:val="24"/>
          <w:szCs w:val="24"/>
          <w:u w:val="single"/>
        </w:rPr>
        <w:t xml:space="preserve">by TFAD </w:t>
      </w:r>
      <w:r w:rsidRPr="00EA5970">
        <w:rPr>
          <w:rFonts w:ascii="Times New Roman" w:eastAsia="Times New Roman" w:hAnsi="Times New Roman" w:cs="Times New Roman"/>
          <w:sz w:val="24"/>
          <w:szCs w:val="24"/>
          <w:u w:val="single"/>
        </w:rPr>
        <w:t xml:space="preserve">during 2019 </w:t>
      </w:r>
      <w:r w:rsidR="00033346">
        <w:rPr>
          <w:rFonts w:ascii="Times New Roman" w:eastAsia="Times New Roman" w:hAnsi="Times New Roman" w:cs="Times New Roman"/>
          <w:sz w:val="24"/>
          <w:szCs w:val="24"/>
          <w:u w:val="single"/>
        </w:rPr>
        <w:t>L</w:t>
      </w:r>
      <w:r w:rsidRPr="00EA5970">
        <w:rPr>
          <w:rFonts w:ascii="Times New Roman" w:eastAsia="Times New Roman" w:hAnsi="Times New Roman" w:cs="Times New Roman"/>
          <w:sz w:val="24"/>
          <w:szCs w:val="24"/>
          <w:u w:val="single"/>
        </w:rPr>
        <w:t xml:space="preserve">egislative </w:t>
      </w:r>
      <w:r w:rsidR="00033346">
        <w:rPr>
          <w:rFonts w:ascii="Times New Roman" w:eastAsia="Times New Roman" w:hAnsi="Times New Roman" w:cs="Times New Roman"/>
          <w:sz w:val="24"/>
          <w:szCs w:val="24"/>
          <w:u w:val="single"/>
        </w:rPr>
        <w:t>S</w:t>
      </w:r>
      <w:r w:rsidRPr="00EA5970">
        <w:rPr>
          <w:rFonts w:ascii="Times New Roman" w:eastAsia="Times New Roman" w:hAnsi="Times New Roman" w:cs="Times New Roman"/>
          <w:sz w:val="24"/>
          <w:szCs w:val="24"/>
          <w:u w:val="single"/>
        </w:rPr>
        <w:t>ession</w:t>
      </w:r>
    </w:p>
    <w:p w14:paraId="2C01AA57" w14:textId="77777777" w:rsidR="00EA5970" w:rsidRDefault="00EA5970" w:rsidP="00EA5970">
      <w:pPr>
        <w:pStyle w:val="BodyText"/>
      </w:pPr>
    </w:p>
    <w:p w14:paraId="56F0A704" w14:textId="77777777" w:rsidR="00EA5970" w:rsidRDefault="00EA5970" w:rsidP="00EA5970">
      <w:pPr>
        <w:pStyle w:val="BodyText"/>
        <w:ind w:left="440" w:right="632"/>
        <w:jc w:val="both"/>
      </w:pPr>
      <w:r>
        <w:rPr>
          <w:b/>
        </w:rPr>
        <w:t xml:space="preserve">Assembly Bill 65 </w:t>
      </w:r>
      <w:r>
        <w:t>– Assembly Bill 65 was an agency bill brought by the Nevada Secretary of State’s Office. The intention was to “clean up” notarial language on forms such as the Guardianship Nomination form. In the 2017 session at the Nevada Legislature, a form was created whereby individuals could nominate the guardian of their choice, should they ever be in guardianship proceedings. The law made provision for placement of the nomination form in a “lockbox” with the Nevada Secretary of State that could be accessed by certain limited parties, such as the guardianship court, to verify compliance with the wishes of an individual prior to alleged incapacity. The form as provided for originally included certifications by notaries that went outside the scope of what was allowed in their role and AB65 sought to correct that. Other bills also ultimately mimicked this correction. People who already have nominations on file with the Secretary of State should not have to re-do them but the law will affect the form in future.</w:t>
      </w:r>
    </w:p>
    <w:p w14:paraId="6944355E" w14:textId="77777777" w:rsidR="00EA5970" w:rsidRDefault="00EA5970" w:rsidP="00EA5970">
      <w:pPr>
        <w:pStyle w:val="BodyText"/>
        <w:spacing w:before="1"/>
      </w:pPr>
    </w:p>
    <w:p w14:paraId="65516D58" w14:textId="600B6FA1" w:rsidR="00EA5970" w:rsidRDefault="00EA5970" w:rsidP="00EA5970">
      <w:pPr>
        <w:pStyle w:val="BodyText"/>
        <w:ind w:left="440" w:right="633"/>
        <w:jc w:val="both"/>
      </w:pPr>
      <w:r>
        <w:rPr>
          <w:b/>
        </w:rPr>
        <w:t xml:space="preserve">Assembly Bill 91 </w:t>
      </w:r>
      <w:r>
        <w:t>– Assembly Bill 91 relates to procedures in Guardianship matters regarding sterilization of protected persons. For possibly older adults who are under guardianship, this means changes</w:t>
      </w:r>
      <w:r>
        <w:rPr>
          <w:spacing w:val="-8"/>
        </w:rPr>
        <w:t xml:space="preserve"> </w:t>
      </w:r>
      <w:r>
        <w:t>to</w:t>
      </w:r>
      <w:r>
        <w:rPr>
          <w:spacing w:val="-8"/>
        </w:rPr>
        <w:t xml:space="preserve"> </w:t>
      </w:r>
      <w:r>
        <w:t>the</w:t>
      </w:r>
      <w:r>
        <w:rPr>
          <w:spacing w:val="-6"/>
        </w:rPr>
        <w:t xml:space="preserve"> </w:t>
      </w:r>
      <w:r>
        <w:t>burden</w:t>
      </w:r>
      <w:r>
        <w:rPr>
          <w:spacing w:val="-7"/>
        </w:rPr>
        <w:t xml:space="preserve"> </w:t>
      </w:r>
      <w:r>
        <w:t>of</w:t>
      </w:r>
      <w:r>
        <w:rPr>
          <w:spacing w:val="-5"/>
        </w:rPr>
        <w:t xml:space="preserve"> </w:t>
      </w:r>
      <w:r>
        <w:t>proof</w:t>
      </w:r>
      <w:r>
        <w:rPr>
          <w:spacing w:val="-6"/>
        </w:rPr>
        <w:t xml:space="preserve"> </w:t>
      </w:r>
      <w:r>
        <w:t>should</w:t>
      </w:r>
      <w:r>
        <w:rPr>
          <w:spacing w:val="-6"/>
        </w:rPr>
        <w:t xml:space="preserve"> </w:t>
      </w:r>
      <w:r>
        <w:t>a</w:t>
      </w:r>
      <w:r>
        <w:rPr>
          <w:spacing w:val="-7"/>
        </w:rPr>
        <w:t xml:space="preserve"> </w:t>
      </w:r>
      <w:r>
        <w:t>guardian</w:t>
      </w:r>
      <w:r>
        <w:rPr>
          <w:spacing w:val="-7"/>
        </w:rPr>
        <w:t xml:space="preserve"> </w:t>
      </w:r>
      <w:r>
        <w:t>seek</w:t>
      </w:r>
      <w:r>
        <w:rPr>
          <w:spacing w:val="-6"/>
        </w:rPr>
        <w:t xml:space="preserve"> </w:t>
      </w:r>
      <w:r>
        <w:t>authority</w:t>
      </w:r>
      <w:r>
        <w:rPr>
          <w:spacing w:val="-6"/>
        </w:rPr>
        <w:t xml:space="preserve"> </w:t>
      </w:r>
      <w:r>
        <w:t>to</w:t>
      </w:r>
      <w:r>
        <w:rPr>
          <w:spacing w:val="-7"/>
        </w:rPr>
        <w:t xml:space="preserve"> </w:t>
      </w:r>
      <w:r>
        <w:t>authorize</w:t>
      </w:r>
      <w:r>
        <w:rPr>
          <w:spacing w:val="-6"/>
        </w:rPr>
        <w:t xml:space="preserve"> </w:t>
      </w:r>
      <w:r>
        <w:t>sterilization.</w:t>
      </w:r>
      <w:r>
        <w:rPr>
          <w:spacing w:val="47"/>
        </w:rPr>
        <w:t xml:space="preserve"> </w:t>
      </w:r>
      <w:r>
        <w:t>The</w:t>
      </w:r>
      <w:r>
        <w:rPr>
          <w:spacing w:val="-6"/>
        </w:rPr>
        <w:t xml:space="preserve"> </w:t>
      </w:r>
      <w:r>
        <w:t>law</w:t>
      </w:r>
      <w:r>
        <w:rPr>
          <w:spacing w:val="-7"/>
        </w:rPr>
        <w:t xml:space="preserve"> </w:t>
      </w:r>
      <w:r>
        <w:t>in NRS 159 does not define sterilization, nor does this bill, but there are no limitations on age or condition</w:t>
      </w:r>
      <w:r>
        <w:rPr>
          <w:spacing w:val="-8"/>
        </w:rPr>
        <w:t xml:space="preserve"> </w:t>
      </w:r>
      <w:r>
        <w:t>which</w:t>
      </w:r>
      <w:r>
        <w:rPr>
          <w:spacing w:val="-10"/>
        </w:rPr>
        <w:t xml:space="preserve"> </w:t>
      </w:r>
      <w:r>
        <w:t>would</w:t>
      </w:r>
      <w:r>
        <w:rPr>
          <w:spacing w:val="-11"/>
        </w:rPr>
        <w:t xml:space="preserve"> </w:t>
      </w:r>
      <w:r>
        <w:t>not</w:t>
      </w:r>
      <w:r>
        <w:rPr>
          <w:spacing w:val="-8"/>
        </w:rPr>
        <w:t xml:space="preserve"> </w:t>
      </w:r>
      <w:r>
        <w:t>trigger</w:t>
      </w:r>
      <w:r>
        <w:rPr>
          <w:spacing w:val="-8"/>
        </w:rPr>
        <w:t xml:space="preserve"> </w:t>
      </w:r>
      <w:r>
        <w:t>the</w:t>
      </w:r>
      <w:r>
        <w:rPr>
          <w:spacing w:val="-7"/>
        </w:rPr>
        <w:t xml:space="preserve"> </w:t>
      </w:r>
      <w:r>
        <w:t>heightened</w:t>
      </w:r>
      <w:r>
        <w:rPr>
          <w:spacing w:val="-10"/>
        </w:rPr>
        <w:t xml:space="preserve"> </w:t>
      </w:r>
      <w:r>
        <w:t>requirements.</w:t>
      </w:r>
      <w:r>
        <w:rPr>
          <w:spacing w:val="45"/>
        </w:rPr>
        <w:t xml:space="preserve"> </w:t>
      </w:r>
      <w:r>
        <w:t>This</w:t>
      </w:r>
      <w:r>
        <w:rPr>
          <w:spacing w:val="-9"/>
        </w:rPr>
        <w:t xml:space="preserve"> </w:t>
      </w:r>
      <w:r>
        <w:t>could</w:t>
      </w:r>
      <w:r>
        <w:rPr>
          <w:spacing w:val="-7"/>
        </w:rPr>
        <w:t xml:space="preserve"> </w:t>
      </w:r>
      <w:r>
        <w:t>impact</w:t>
      </w:r>
      <w:r>
        <w:rPr>
          <w:spacing w:val="-9"/>
        </w:rPr>
        <w:t xml:space="preserve"> </w:t>
      </w:r>
      <w:r>
        <w:t>caregivers</w:t>
      </w:r>
      <w:r>
        <w:rPr>
          <w:spacing w:val="-9"/>
        </w:rPr>
        <w:t xml:space="preserve"> </w:t>
      </w:r>
      <w:r>
        <w:t>in</w:t>
      </w:r>
      <w:r>
        <w:rPr>
          <w:spacing w:val="-7"/>
        </w:rPr>
        <w:t xml:space="preserve"> </w:t>
      </w:r>
      <w:r>
        <w:t>their role</w:t>
      </w:r>
      <w:r>
        <w:rPr>
          <w:spacing w:val="-8"/>
        </w:rPr>
        <w:t xml:space="preserve"> </w:t>
      </w:r>
      <w:r>
        <w:t>as</w:t>
      </w:r>
      <w:r>
        <w:rPr>
          <w:spacing w:val="-8"/>
        </w:rPr>
        <w:t xml:space="preserve"> </w:t>
      </w:r>
      <w:r>
        <w:t>guardians</w:t>
      </w:r>
      <w:r>
        <w:rPr>
          <w:spacing w:val="-9"/>
        </w:rPr>
        <w:t xml:space="preserve"> </w:t>
      </w:r>
      <w:r>
        <w:t>if</w:t>
      </w:r>
      <w:r>
        <w:rPr>
          <w:spacing w:val="-8"/>
        </w:rPr>
        <w:t xml:space="preserve"> </w:t>
      </w:r>
      <w:r>
        <w:t>they</w:t>
      </w:r>
      <w:r>
        <w:rPr>
          <w:spacing w:val="-9"/>
        </w:rPr>
        <w:t xml:space="preserve"> </w:t>
      </w:r>
      <w:r>
        <w:t>are</w:t>
      </w:r>
      <w:r>
        <w:rPr>
          <w:spacing w:val="-6"/>
        </w:rPr>
        <w:t xml:space="preserve"> </w:t>
      </w:r>
      <w:r>
        <w:t>seeking</w:t>
      </w:r>
      <w:r>
        <w:rPr>
          <w:spacing w:val="-9"/>
        </w:rPr>
        <w:t xml:space="preserve"> </w:t>
      </w:r>
      <w:r>
        <w:t>court</w:t>
      </w:r>
      <w:r>
        <w:rPr>
          <w:spacing w:val="-8"/>
        </w:rPr>
        <w:t xml:space="preserve"> </w:t>
      </w:r>
      <w:r>
        <w:t>authority</w:t>
      </w:r>
      <w:r>
        <w:rPr>
          <w:spacing w:val="-9"/>
        </w:rPr>
        <w:t xml:space="preserve"> </w:t>
      </w:r>
      <w:r>
        <w:t>for,</w:t>
      </w:r>
      <w:r>
        <w:rPr>
          <w:spacing w:val="-7"/>
        </w:rPr>
        <w:t xml:space="preserve"> </w:t>
      </w:r>
      <w:r>
        <w:t>say,</w:t>
      </w:r>
      <w:r>
        <w:rPr>
          <w:spacing w:val="-6"/>
        </w:rPr>
        <w:t xml:space="preserve"> </w:t>
      </w:r>
      <w:r>
        <w:t>a</w:t>
      </w:r>
      <w:r>
        <w:rPr>
          <w:spacing w:val="-9"/>
        </w:rPr>
        <w:t xml:space="preserve"> </w:t>
      </w:r>
      <w:r>
        <w:t>hysterectomy</w:t>
      </w:r>
      <w:r>
        <w:rPr>
          <w:spacing w:val="-9"/>
        </w:rPr>
        <w:t xml:space="preserve"> </w:t>
      </w:r>
      <w:r>
        <w:t>for</w:t>
      </w:r>
      <w:r>
        <w:rPr>
          <w:spacing w:val="-9"/>
        </w:rPr>
        <w:t xml:space="preserve"> </w:t>
      </w:r>
      <w:r>
        <w:t>a</w:t>
      </w:r>
      <w:r>
        <w:rPr>
          <w:spacing w:val="-8"/>
        </w:rPr>
        <w:t xml:space="preserve"> </w:t>
      </w:r>
      <w:r>
        <w:t>protected</w:t>
      </w:r>
      <w:r>
        <w:rPr>
          <w:spacing w:val="-6"/>
        </w:rPr>
        <w:t xml:space="preserve"> </w:t>
      </w:r>
      <w:r>
        <w:t>person,</w:t>
      </w:r>
      <w:r>
        <w:rPr>
          <w:spacing w:val="-7"/>
        </w:rPr>
        <w:t xml:space="preserve"> </w:t>
      </w:r>
      <w:r>
        <w:t>no matter the actual likelihood of the person exercising their reproductive</w:t>
      </w:r>
      <w:r>
        <w:rPr>
          <w:spacing w:val="-10"/>
        </w:rPr>
        <w:t xml:space="preserve"> </w:t>
      </w:r>
      <w:r>
        <w:t>rights.</w:t>
      </w:r>
    </w:p>
    <w:p w14:paraId="31C66169" w14:textId="77777777" w:rsidR="00033346" w:rsidRDefault="00033346" w:rsidP="00EA5970">
      <w:pPr>
        <w:pStyle w:val="BodyText"/>
        <w:ind w:left="440" w:right="633"/>
        <w:jc w:val="both"/>
        <w:rPr>
          <w:rFonts w:ascii="Times New Roman"/>
          <w:i/>
          <w:sz w:val="14"/>
        </w:rPr>
      </w:pPr>
    </w:p>
    <w:p w14:paraId="7FDCB23E" w14:textId="77777777" w:rsidR="00EA5970" w:rsidRDefault="00EA5970" w:rsidP="00EA5970">
      <w:pPr>
        <w:pStyle w:val="BodyText"/>
        <w:spacing w:before="100"/>
        <w:ind w:left="440" w:right="633"/>
        <w:jc w:val="both"/>
      </w:pPr>
      <w:r>
        <w:rPr>
          <w:b/>
        </w:rPr>
        <w:t xml:space="preserve">Assembly Bill 170 </w:t>
      </w:r>
      <w:r>
        <w:t>– Senate Bill 170 is included here as it aims to place pre-existing condition protections from the Affordable Care Act into Nevada law and also for its provisions related to the Office</w:t>
      </w:r>
      <w:r>
        <w:rPr>
          <w:spacing w:val="-7"/>
        </w:rPr>
        <w:t xml:space="preserve"> </w:t>
      </w:r>
      <w:r>
        <w:t>of</w:t>
      </w:r>
      <w:r>
        <w:rPr>
          <w:spacing w:val="-8"/>
        </w:rPr>
        <w:t xml:space="preserve"> </w:t>
      </w:r>
      <w:r>
        <w:t>Consumer</w:t>
      </w:r>
      <w:r>
        <w:rPr>
          <w:spacing w:val="-7"/>
        </w:rPr>
        <w:t xml:space="preserve"> </w:t>
      </w:r>
      <w:r>
        <w:t>Health</w:t>
      </w:r>
      <w:r>
        <w:rPr>
          <w:spacing w:val="-7"/>
        </w:rPr>
        <w:t xml:space="preserve"> </w:t>
      </w:r>
      <w:r>
        <w:t>Assistance</w:t>
      </w:r>
      <w:r>
        <w:rPr>
          <w:spacing w:val="-6"/>
        </w:rPr>
        <w:t xml:space="preserve"> </w:t>
      </w:r>
      <w:r>
        <w:t>having</w:t>
      </w:r>
      <w:r>
        <w:rPr>
          <w:spacing w:val="-7"/>
        </w:rPr>
        <w:t xml:space="preserve"> </w:t>
      </w:r>
      <w:r>
        <w:t>information</w:t>
      </w:r>
      <w:r>
        <w:rPr>
          <w:spacing w:val="-7"/>
        </w:rPr>
        <w:t xml:space="preserve"> </w:t>
      </w:r>
      <w:r>
        <w:t>from</w:t>
      </w:r>
      <w:r>
        <w:rPr>
          <w:spacing w:val="-8"/>
        </w:rPr>
        <w:t xml:space="preserve"> </w:t>
      </w:r>
      <w:r>
        <w:t>insurance</w:t>
      </w:r>
      <w:r>
        <w:rPr>
          <w:spacing w:val="-6"/>
        </w:rPr>
        <w:t xml:space="preserve"> </w:t>
      </w:r>
      <w:r>
        <w:t>companies</w:t>
      </w:r>
      <w:r>
        <w:rPr>
          <w:spacing w:val="-8"/>
        </w:rPr>
        <w:t xml:space="preserve"> </w:t>
      </w:r>
      <w:r>
        <w:t>that</w:t>
      </w:r>
      <w:r>
        <w:rPr>
          <w:spacing w:val="-7"/>
        </w:rPr>
        <w:t xml:space="preserve"> </w:t>
      </w:r>
      <w:r>
        <w:t>it</w:t>
      </w:r>
      <w:r>
        <w:rPr>
          <w:spacing w:val="-8"/>
        </w:rPr>
        <w:t xml:space="preserve"> </w:t>
      </w:r>
      <w:r>
        <w:t>can</w:t>
      </w:r>
      <w:r>
        <w:rPr>
          <w:spacing w:val="-10"/>
        </w:rPr>
        <w:t xml:space="preserve"> </w:t>
      </w:r>
      <w:r>
        <w:t>then use</w:t>
      </w:r>
      <w:r>
        <w:rPr>
          <w:spacing w:val="-15"/>
        </w:rPr>
        <w:t xml:space="preserve"> </w:t>
      </w:r>
      <w:r>
        <w:t>to</w:t>
      </w:r>
      <w:r>
        <w:rPr>
          <w:spacing w:val="-17"/>
        </w:rPr>
        <w:t xml:space="preserve"> </w:t>
      </w:r>
      <w:r>
        <w:t>make</w:t>
      </w:r>
      <w:r>
        <w:rPr>
          <w:spacing w:val="-15"/>
        </w:rPr>
        <w:t xml:space="preserve"> </w:t>
      </w:r>
      <w:r>
        <w:t>more</w:t>
      </w:r>
      <w:r>
        <w:rPr>
          <w:spacing w:val="-15"/>
        </w:rPr>
        <w:t xml:space="preserve"> </w:t>
      </w:r>
      <w:r>
        <w:t>direct</w:t>
      </w:r>
      <w:r>
        <w:rPr>
          <w:spacing w:val="-16"/>
        </w:rPr>
        <w:t xml:space="preserve"> </w:t>
      </w:r>
      <w:r>
        <w:t>communication</w:t>
      </w:r>
      <w:r>
        <w:rPr>
          <w:spacing w:val="-16"/>
        </w:rPr>
        <w:t xml:space="preserve"> </w:t>
      </w:r>
      <w:r>
        <w:t>with</w:t>
      </w:r>
      <w:r>
        <w:rPr>
          <w:spacing w:val="-16"/>
        </w:rPr>
        <w:t xml:space="preserve"> </w:t>
      </w:r>
      <w:r>
        <w:t>those</w:t>
      </w:r>
      <w:r>
        <w:rPr>
          <w:spacing w:val="-15"/>
        </w:rPr>
        <w:t xml:space="preserve"> </w:t>
      </w:r>
      <w:r>
        <w:t>companies</w:t>
      </w:r>
      <w:r>
        <w:rPr>
          <w:spacing w:val="-17"/>
        </w:rPr>
        <w:t xml:space="preserve"> </w:t>
      </w:r>
      <w:r>
        <w:t>possible</w:t>
      </w:r>
      <w:r>
        <w:rPr>
          <w:spacing w:val="-15"/>
        </w:rPr>
        <w:t xml:space="preserve"> </w:t>
      </w:r>
      <w:r>
        <w:t>in</w:t>
      </w:r>
      <w:r>
        <w:rPr>
          <w:spacing w:val="-16"/>
        </w:rPr>
        <w:t xml:space="preserve"> </w:t>
      </w:r>
      <w:r>
        <w:t>the</w:t>
      </w:r>
      <w:r>
        <w:rPr>
          <w:spacing w:val="-13"/>
        </w:rPr>
        <w:t xml:space="preserve"> </w:t>
      </w:r>
      <w:r>
        <w:t>course</w:t>
      </w:r>
      <w:r>
        <w:rPr>
          <w:spacing w:val="-15"/>
        </w:rPr>
        <w:t xml:space="preserve"> </w:t>
      </w:r>
      <w:r>
        <w:t>of</w:t>
      </w:r>
      <w:r>
        <w:rPr>
          <w:spacing w:val="-17"/>
        </w:rPr>
        <w:t xml:space="preserve"> </w:t>
      </w:r>
      <w:r>
        <w:t>their</w:t>
      </w:r>
      <w:r>
        <w:rPr>
          <w:spacing w:val="-16"/>
        </w:rPr>
        <w:t xml:space="preserve"> </w:t>
      </w:r>
      <w:r>
        <w:t>advocacy for</w:t>
      </w:r>
      <w:r>
        <w:rPr>
          <w:spacing w:val="-3"/>
        </w:rPr>
        <w:t xml:space="preserve"> </w:t>
      </w:r>
      <w:r>
        <w:t>Nevadans.</w:t>
      </w:r>
    </w:p>
    <w:p w14:paraId="50AEED3B" w14:textId="77777777" w:rsidR="00EA5970" w:rsidRDefault="00EA5970" w:rsidP="00EA5970">
      <w:pPr>
        <w:pStyle w:val="BodyText"/>
      </w:pPr>
    </w:p>
    <w:p w14:paraId="61CFE23F" w14:textId="77777777" w:rsidR="00EA5970" w:rsidRDefault="00EA5970" w:rsidP="00EA5970">
      <w:pPr>
        <w:pStyle w:val="BodyText"/>
        <w:ind w:left="440" w:right="633"/>
        <w:jc w:val="both"/>
      </w:pPr>
      <w:r>
        <w:rPr>
          <w:b/>
        </w:rPr>
        <w:t>Assembly</w:t>
      </w:r>
      <w:r>
        <w:rPr>
          <w:b/>
          <w:spacing w:val="-2"/>
        </w:rPr>
        <w:t xml:space="preserve"> </w:t>
      </w:r>
      <w:r>
        <w:rPr>
          <w:b/>
        </w:rPr>
        <w:t>Bill</w:t>
      </w:r>
      <w:r>
        <w:rPr>
          <w:b/>
          <w:spacing w:val="-5"/>
        </w:rPr>
        <w:t xml:space="preserve"> </w:t>
      </w:r>
      <w:r>
        <w:rPr>
          <w:b/>
        </w:rPr>
        <w:t>228</w:t>
      </w:r>
      <w:r>
        <w:rPr>
          <w:b/>
          <w:spacing w:val="-4"/>
        </w:rPr>
        <w:t xml:space="preserve"> </w:t>
      </w:r>
      <w:r>
        <w:t>–</w:t>
      </w:r>
      <w:r>
        <w:rPr>
          <w:spacing w:val="-2"/>
        </w:rPr>
        <w:t xml:space="preserve"> </w:t>
      </w:r>
      <w:r>
        <w:t>Originally</w:t>
      </w:r>
      <w:r>
        <w:rPr>
          <w:spacing w:val="-3"/>
        </w:rPr>
        <w:t xml:space="preserve"> </w:t>
      </w:r>
      <w:r>
        <w:t>conceived</w:t>
      </w:r>
      <w:r>
        <w:rPr>
          <w:spacing w:val="-5"/>
        </w:rPr>
        <w:t xml:space="preserve"> </w:t>
      </w:r>
      <w:r>
        <w:t>as</w:t>
      </w:r>
      <w:r>
        <w:rPr>
          <w:spacing w:val="-4"/>
        </w:rPr>
        <w:t xml:space="preserve"> </w:t>
      </w:r>
      <w:r>
        <w:t>a</w:t>
      </w:r>
      <w:r>
        <w:rPr>
          <w:spacing w:val="-3"/>
        </w:rPr>
        <w:t xml:space="preserve"> </w:t>
      </w:r>
      <w:r>
        <w:t>renewal</w:t>
      </w:r>
      <w:r>
        <w:rPr>
          <w:spacing w:val="-2"/>
        </w:rPr>
        <w:t xml:space="preserve"> </w:t>
      </w:r>
      <w:r>
        <w:t>of the</w:t>
      </w:r>
      <w:r>
        <w:rPr>
          <w:spacing w:val="-2"/>
        </w:rPr>
        <w:t xml:space="preserve"> </w:t>
      </w:r>
      <w:r>
        <w:t>2017</w:t>
      </w:r>
      <w:r>
        <w:rPr>
          <w:spacing w:val="-2"/>
        </w:rPr>
        <w:t xml:space="preserve"> </w:t>
      </w:r>
      <w:r>
        <w:t>attempt</w:t>
      </w:r>
      <w:r>
        <w:rPr>
          <w:spacing w:val="-4"/>
        </w:rPr>
        <w:t xml:space="preserve"> </w:t>
      </w:r>
      <w:r>
        <w:t>to</w:t>
      </w:r>
      <w:r>
        <w:rPr>
          <w:spacing w:val="-5"/>
        </w:rPr>
        <w:t xml:space="preserve"> </w:t>
      </w:r>
      <w:r>
        <w:t>expand</w:t>
      </w:r>
      <w:r>
        <w:rPr>
          <w:spacing w:val="-5"/>
        </w:rPr>
        <w:t xml:space="preserve"> </w:t>
      </w:r>
      <w:r>
        <w:t>the</w:t>
      </w:r>
      <w:r>
        <w:rPr>
          <w:spacing w:val="-2"/>
        </w:rPr>
        <w:t xml:space="preserve"> </w:t>
      </w:r>
      <w:r>
        <w:t>role</w:t>
      </w:r>
      <w:r>
        <w:rPr>
          <w:spacing w:val="-4"/>
        </w:rPr>
        <w:t xml:space="preserve"> </w:t>
      </w:r>
      <w:r>
        <w:t>of</w:t>
      </w:r>
      <w:r>
        <w:rPr>
          <w:spacing w:val="-3"/>
        </w:rPr>
        <w:t xml:space="preserve"> </w:t>
      </w:r>
      <w:r>
        <w:t>the State</w:t>
      </w:r>
      <w:r>
        <w:rPr>
          <w:spacing w:val="-14"/>
        </w:rPr>
        <w:t xml:space="preserve"> </w:t>
      </w:r>
      <w:r>
        <w:t>Long</w:t>
      </w:r>
      <w:r>
        <w:rPr>
          <w:spacing w:val="-14"/>
        </w:rPr>
        <w:t xml:space="preserve"> </w:t>
      </w:r>
      <w:r>
        <w:t>Term</w:t>
      </w:r>
      <w:r>
        <w:rPr>
          <w:spacing w:val="-14"/>
        </w:rPr>
        <w:t xml:space="preserve"> </w:t>
      </w:r>
      <w:r>
        <w:t>Care</w:t>
      </w:r>
      <w:r>
        <w:rPr>
          <w:spacing w:val="-14"/>
        </w:rPr>
        <w:t xml:space="preserve"> </w:t>
      </w:r>
      <w:r>
        <w:t>Ombudsman,</w:t>
      </w:r>
      <w:r>
        <w:rPr>
          <w:spacing w:val="-14"/>
        </w:rPr>
        <w:t xml:space="preserve"> </w:t>
      </w:r>
      <w:r>
        <w:t>Assembly</w:t>
      </w:r>
      <w:r>
        <w:rPr>
          <w:spacing w:val="-14"/>
        </w:rPr>
        <w:t xml:space="preserve"> </w:t>
      </w:r>
      <w:r>
        <w:t>Bill</w:t>
      </w:r>
      <w:r>
        <w:rPr>
          <w:spacing w:val="-13"/>
        </w:rPr>
        <w:t xml:space="preserve"> </w:t>
      </w:r>
      <w:r>
        <w:t>228</w:t>
      </w:r>
      <w:r>
        <w:rPr>
          <w:spacing w:val="-14"/>
        </w:rPr>
        <w:t xml:space="preserve"> </w:t>
      </w:r>
      <w:r>
        <w:t>was</w:t>
      </w:r>
      <w:r>
        <w:rPr>
          <w:spacing w:val="-16"/>
        </w:rPr>
        <w:t xml:space="preserve"> </w:t>
      </w:r>
      <w:r>
        <w:t>amended</w:t>
      </w:r>
      <w:r>
        <w:rPr>
          <w:spacing w:val="-13"/>
        </w:rPr>
        <w:t xml:space="preserve"> </w:t>
      </w:r>
      <w:r>
        <w:t>to</w:t>
      </w:r>
      <w:r>
        <w:rPr>
          <w:spacing w:val="-15"/>
        </w:rPr>
        <w:t xml:space="preserve"> </w:t>
      </w:r>
      <w:r>
        <w:t>allow</w:t>
      </w:r>
      <w:r>
        <w:rPr>
          <w:spacing w:val="-14"/>
        </w:rPr>
        <w:t xml:space="preserve"> </w:t>
      </w:r>
      <w:r>
        <w:t>for</w:t>
      </w:r>
      <w:r>
        <w:rPr>
          <w:spacing w:val="-15"/>
        </w:rPr>
        <w:t xml:space="preserve"> </w:t>
      </w:r>
      <w:r>
        <w:t>permissive</w:t>
      </w:r>
      <w:r>
        <w:rPr>
          <w:spacing w:val="-14"/>
        </w:rPr>
        <w:t xml:space="preserve"> </w:t>
      </w:r>
      <w:r>
        <w:t>authority of the Administrator of the Aging and Disability Services Division to direct the referral of the State Long Term Care Ombudsman into additional settings: supported living arrangements, community based</w:t>
      </w:r>
      <w:r>
        <w:rPr>
          <w:spacing w:val="-9"/>
        </w:rPr>
        <w:t xml:space="preserve"> </w:t>
      </w:r>
      <w:r>
        <w:t>living</w:t>
      </w:r>
      <w:r>
        <w:rPr>
          <w:spacing w:val="-8"/>
        </w:rPr>
        <w:t xml:space="preserve"> </w:t>
      </w:r>
      <w:r>
        <w:t>arrangements,</w:t>
      </w:r>
      <w:r>
        <w:rPr>
          <w:spacing w:val="-10"/>
        </w:rPr>
        <w:t xml:space="preserve"> </w:t>
      </w:r>
      <w:r>
        <w:t>adult</w:t>
      </w:r>
      <w:r>
        <w:rPr>
          <w:spacing w:val="-10"/>
        </w:rPr>
        <w:t xml:space="preserve"> </w:t>
      </w:r>
      <w:r>
        <w:t>day</w:t>
      </w:r>
      <w:r>
        <w:rPr>
          <w:spacing w:val="-8"/>
        </w:rPr>
        <w:t xml:space="preserve"> </w:t>
      </w:r>
      <w:r>
        <w:t>care,</w:t>
      </w:r>
      <w:r>
        <w:rPr>
          <w:spacing w:val="-9"/>
        </w:rPr>
        <w:t xml:space="preserve"> </w:t>
      </w:r>
      <w:r>
        <w:t>and</w:t>
      </w:r>
      <w:r>
        <w:rPr>
          <w:spacing w:val="-8"/>
        </w:rPr>
        <w:t xml:space="preserve"> </w:t>
      </w:r>
      <w:r>
        <w:t>facilities</w:t>
      </w:r>
      <w:r>
        <w:rPr>
          <w:spacing w:val="-9"/>
        </w:rPr>
        <w:t xml:space="preserve"> </w:t>
      </w:r>
      <w:r>
        <w:t>for</w:t>
      </w:r>
      <w:r>
        <w:rPr>
          <w:spacing w:val="-10"/>
        </w:rPr>
        <w:t xml:space="preserve"> </w:t>
      </w:r>
      <w:r>
        <w:t>long-term</w:t>
      </w:r>
      <w:r>
        <w:rPr>
          <w:spacing w:val="-10"/>
        </w:rPr>
        <w:t xml:space="preserve"> </w:t>
      </w:r>
      <w:r>
        <w:t>rehabilitation.</w:t>
      </w:r>
      <w:r>
        <w:rPr>
          <w:spacing w:val="44"/>
        </w:rPr>
        <w:t xml:space="preserve"> </w:t>
      </w:r>
      <w:r>
        <w:t>In</w:t>
      </w:r>
      <w:r>
        <w:rPr>
          <w:spacing w:val="-9"/>
        </w:rPr>
        <w:t xml:space="preserve"> </w:t>
      </w:r>
      <w:r>
        <w:t>a</w:t>
      </w:r>
      <w:r>
        <w:rPr>
          <w:spacing w:val="-9"/>
        </w:rPr>
        <w:t xml:space="preserve"> </w:t>
      </w:r>
      <w:r>
        <w:t>way,</w:t>
      </w:r>
      <w:r>
        <w:rPr>
          <w:spacing w:val="-8"/>
        </w:rPr>
        <w:t xml:space="preserve"> </w:t>
      </w:r>
      <w:r>
        <w:t>this</w:t>
      </w:r>
      <w:r>
        <w:rPr>
          <w:spacing w:val="-10"/>
        </w:rPr>
        <w:t xml:space="preserve"> </w:t>
      </w:r>
      <w:r>
        <w:t>was a</w:t>
      </w:r>
      <w:r>
        <w:rPr>
          <w:spacing w:val="-3"/>
        </w:rPr>
        <w:t xml:space="preserve"> </w:t>
      </w:r>
      <w:r>
        <w:t>return</w:t>
      </w:r>
      <w:r>
        <w:rPr>
          <w:spacing w:val="-4"/>
        </w:rPr>
        <w:t xml:space="preserve"> </w:t>
      </w:r>
      <w:r>
        <w:t>to</w:t>
      </w:r>
      <w:r>
        <w:rPr>
          <w:spacing w:val="-4"/>
        </w:rPr>
        <w:t xml:space="preserve"> </w:t>
      </w:r>
      <w:r>
        <w:t>the</w:t>
      </w:r>
      <w:r>
        <w:rPr>
          <w:spacing w:val="-2"/>
        </w:rPr>
        <w:t xml:space="preserve"> </w:t>
      </w:r>
      <w:r>
        <w:t>pre-2017</w:t>
      </w:r>
      <w:r>
        <w:rPr>
          <w:spacing w:val="-3"/>
        </w:rPr>
        <w:t xml:space="preserve"> </w:t>
      </w:r>
      <w:r>
        <w:t>discretion</w:t>
      </w:r>
      <w:r>
        <w:rPr>
          <w:spacing w:val="-3"/>
        </w:rPr>
        <w:t xml:space="preserve"> </w:t>
      </w:r>
      <w:r>
        <w:t>of</w:t>
      </w:r>
      <w:r>
        <w:rPr>
          <w:spacing w:val="-5"/>
        </w:rPr>
        <w:t xml:space="preserve"> </w:t>
      </w:r>
      <w:r>
        <w:t>the</w:t>
      </w:r>
      <w:r>
        <w:rPr>
          <w:spacing w:val="-2"/>
        </w:rPr>
        <w:t xml:space="preserve"> </w:t>
      </w:r>
      <w:r>
        <w:t>Administrator</w:t>
      </w:r>
      <w:r>
        <w:rPr>
          <w:spacing w:val="-5"/>
        </w:rPr>
        <w:t xml:space="preserve"> </w:t>
      </w:r>
      <w:r>
        <w:t>of</w:t>
      </w:r>
      <w:r>
        <w:rPr>
          <w:spacing w:val="-5"/>
        </w:rPr>
        <w:t xml:space="preserve"> </w:t>
      </w:r>
      <w:r>
        <w:t>ADSD</w:t>
      </w:r>
      <w:r>
        <w:rPr>
          <w:spacing w:val="-1"/>
        </w:rPr>
        <w:t xml:space="preserve"> </w:t>
      </w:r>
      <w:r>
        <w:t>to</w:t>
      </w:r>
      <w:r>
        <w:rPr>
          <w:spacing w:val="-4"/>
        </w:rPr>
        <w:t xml:space="preserve"> </w:t>
      </w:r>
      <w:r>
        <w:t>have</w:t>
      </w:r>
      <w:r>
        <w:rPr>
          <w:spacing w:val="-3"/>
        </w:rPr>
        <w:t xml:space="preserve"> </w:t>
      </w:r>
      <w:r>
        <w:t>such</w:t>
      </w:r>
      <w:r>
        <w:rPr>
          <w:spacing w:val="-4"/>
        </w:rPr>
        <w:t xml:space="preserve"> </w:t>
      </w:r>
      <w:r>
        <w:t>discretion,</w:t>
      </w:r>
      <w:r>
        <w:rPr>
          <w:spacing w:val="-2"/>
        </w:rPr>
        <w:t xml:space="preserve"> </w:t>
      </w:r>
      <w:r>
        <w:t>but</w:t>
      </w:r>
      <w:r>
        <w:rPr>
          <w:spacing w:val="-4"/>
        </w:rPr>
        <w:t xml:space="preserve"> </w:t>
      </w:r>
      <w:r>
        <w:t>which was amended out in 2017 when the State Long Term Care Ombudsman ceased to only serve those over 60 but instead included others who were in long term care, regardless of their age. The bill will allow for a better understanding, through data related to those who may opt in and request this type of individualized</w:t>
      </w:r>
      <w:r>
        <w:rPr>
          <w:spacing w:val="-4"/>
        </w:rPr>
        <w:t xml:space="preserve"> </w:t>
      </w:r>
      <w:r>
        <w:t>advocacy.</w:t>
      </w:r>
    </w:p>
    <w:p w14:paraId="7F2787B7" w14:textId="77777777" w:rsidR="00EA5970" w:rsidRDefault="00EA5970" w:rsidP="00EA5970">
      <w:pPr>
        <w:pStyle w:val="BodyText"/>
        <w:spacing w:before="2"/>
      </w:pPr>
    </w:p>
    <w:p w14:paraId="2A8E68D9" w14:textId="77777777" w:rsidR="00EA5970" w:rsidRDefault="00EA5970" w:rsidP="00EA5970">
      <w:pPr>
        <w:pStyle w:val="BodyText"/>
        <w:ind w:left="440" w:right="640"/>
        <w:jc w:val="both"/>
      </w:pPr>
      <w:r>
        <w:rPr>
          <w:b/>
        </w:rPr>
        <w:t xml:space="preserve">Assembly Bill 299 </w:t>
      </w:r>
      <w:r>
        <w:t>– One of several bills regarding powers of attorney, Assembly Bill 299 notably creates a specific provision in the advance directive component of a power of attorney for healthcare decisions that relates to Alzheimer’s Disease. The new form language would include the following:</w:t>
      </w:r>
    </w:p>
    <w:p w14:paraId="34591FEE" w14:textId="77777777" w:rsidR="00EA5970" w:rsidRDefault="00EA5970" w:rsidP="00EA5970">
      <w:pPr>
        <w:pStyle w:val="BodyText"/>
      </w:pPr>
    </w:p>
    <w:p w14:paraId="5A2AB1CB" w14:textId="77777777" w:rsidR="00EA5970" w:rsidRDefault="00EA5970" w:rsidP="00EA5970">
      <w:pPr>
        <w:pStyle w:val="BodyText"/>
        <w:tabs>
          <w:tab w:val="left" w:leader="dot" w:pos="5396"/>
        </w:tabs>
        <w:ind w:left="440" w:right="634"/>
        <w:jc w:val="both"/>
      </w:pPr>
      <w:r>
        <w:t>“6. If I have an incurable or terminal condition, including late stage dementia, or illness and no reasonable hope of long-term recovery or survival, I desire my attending physician to administer any medication to alleviate suffering without regard that the medication is likely to cause addiction or reduce  the  extension of my</w:t>
      </w:r>
      <w:r>
        <w:rPr>
          <w:spacing w:val="-8"/>
        </w:rPr>
        <w:t xml:space="preserve"> </w:t>
      </w:r>
      <w:r>
        <w:t>life. [</w:t>
      </w:r>
      <w:r>
        <w:tab/>
        <w:t>]”</w:t>
      </w:r>
    </w:p>
    <w:p w14:paraId="32F3ABC3" w14:textId="77777777" w:rsidR="00EA5970" w:rsidRDefault="00EA5970" w:rsidP="00EA5970">
      <w:pPr>
        <w:pStyle w:val="BodyText"/>
        <w:spacing w:before="10"/>
        <w:rPr>
          <w:sz w:val="23"/>
        </w:rPr>
      </w:pPr>
    </w:p>
    <w:p w14:paraId="49112AB6" w14:textId="77777777" w:rsidR="00EA5970" w:rsidRDefault="00EA5970" w:rsidP="00EA5970">
      <w:pPr>
        <w:pStyle w:val="BodyText"/>
        <w:ind w:left="440" w:right="636"/>
        <w:jc w:val="both"/>
      </w:pPr>
      <w:r>
        <w:t xml:space="preserve">The bill also distinguishes between “durable” and “nondurable” powers of attorney such that if a </w:t>
      </w:r>
      <w:r>
        <w:lastRenderedPageBreak/>
        <w:t>Guardianship terminates a power of attorney and the individual is later restored to their rights and exited from the Guardianship, the power of attorney may revive in effectiveness.</w:t>
      </w:r>
    </w:p>
    <w:p w14:paraId="32A05DE9" w14:textId="77777777" w:rsidR="00EA5970" w:rsidRDefault="00EA5970" w:rsidP="00EA5970">
      <w:pPr>
        <w:pStyle w:val="BodyText"/>
      </w:pPr>
    </w:p>
    <w:p w14:paraId="4D3F8CA9" w14:textId="77777777" w:rsidR="00EA5970" w:rsidRDefault="00EA5970" w:rsidP="00EA5970">
      <w:pPr>
        <w:pStyle w:val="BodyText"/>
        <w:ind w:left="440" w:right="633"/>
        <w:jc w:val="both"/>
      </w:pPr>
      <w:r>
        <w:rPr>
          <w:b/>
        </w:rPr>
        <w:t>Assembly</w:t>
      </w:r>
      <w:r>
        <w:rPr>
          <w:b/>
          <w:spacing w:val="-9"/>
        </w:rPr>
        <w:t xml:space="preserve"> </w:t>
      </w:r>
      <w:r>
        <w:rPr>
          <w:b/>
        </w:rPr>
        <w:t>Bill</w:t>
      </w:r>
      <w:r>
        <w:rPr>
          <w:b/>
          <w:spacing w:val="-10"/>
        </w:rPr>
        <w:t xml:space="preserve"> </w:t>
      </w:r>
      <w:r>
        <w:rPr>
          <w:b/>
        </w:rPr>
        <w:t>480</w:t>
      </w:r>
      <w:r>
        <w:rPr>
          <w:b/>
          <w:spacing w:val="-9"/>
        </w:rPr>
        <w:t xml:space="preserve"> </w:t>
      </w:r>
      <w:r>
        <w:t>–</w:t>
      </w:r>
      <w:r>
        <w:rPr>
          <w:spacing w:val="-9"/>
        </w:rPr>
        <w:t xml:space="preserve"> </w:t>
      </w:r>
      <w:r>
        <w:t>Dubbed</w:t>
      </w:r>
      <w:r>
        <w:rPr>
          <w:spacing w:val="-9"/>
        </w:rPr>
        <w:t xml:space="preserve"> </w:t>
      </w:r>
      <w:r>
        <w:t>“The</w:t>
      </w:r>
      <w:r>
        <w:rPr>
          <w:spacing w:val="-9"/>
        </w:rPr>
        <w:t xml:space="preserve"> </w:t>
      </w:r>
      <w:r>
        <w:t>Supported</w:t>
      </w:r>
      <w:r>
        <w:rPr>
          <w:spacing w:val="-9"/>
        </w:rPr>
        <w:t xml:space="preserve"> </w:t>
      </w:r>
      <w:r>
        <w:t>Decision-Making</w:t>
      </w:r>
      <w:r>
        <w:rPr>
          <w:spacing w:val="-8"/>
        </w:rPr>
        <w:t xml:space="preserve"> </w:t>
      </w:r>
      <w:r>
        <w:t>Act,”</w:t>
      </w:r>
      <w:r>
        <w:rPr>
          <w:spacing w:val="-9"/>
        </w:rPr>
        <w:t xml:space="preserve"> </w:t>
      </w:r>
      <w:r>
        <w:t>Assembly</w:t>
      </w:r>
      <w:r>
        <w:rPr>
          <w:spacing w:val="-9"/>
        </w:rPr>
        <w:t xml:space="preserve"> </w:t>
      </w:r>
      <w:r>
        <w:t>Bill</w:t>
      </w:r>
      <w:r>
        <w:rPr>
          <w:spacing w:val="-9"/>
        </w:rPr>
        <w:t xml:space="preserve"> </w:t>
      </w:r>
      <w:r>
        <w:t>480</w:t>
      </w:r>
      <w:r>
        <w:rPr>
          <w:spacing w:val="-8"/>
        </w:rPr>
        <w:t xml:space="preserve"> </w:t>
      </w:r>
      <w:r>
        <w:t>provides</w:t>
      </w:r>
      <w:r>
        <w:rPr>
          <w:spacing w:val="-10"/>
        </w:rPr>
        <w:t xml:space="preserve"> </w:t>
      </w:r>
      <w:r>
        <w:t>an alternative</w:t>
      </w:r>
      <w:r>
        <w:rPr>
          <w:spacing w:val="-6"/>
        </w:rPr>
        <w:t xml:space="preserve"> </w:t>
      </w:r>
      <w:r>
        <w:t>to</w:t>
      </w:r>
      <w:r>
        <w:rPr>
          <w:spacing w:val="-7"/>
        </w:rPr>
        <w:t xml:space="preserve"> </w:t>
      </w:r>
      <w:r>
        <w:t>Guardianship</w:t>
      </w:r>
      <w:r>
        <w:rPr>
          <w:spacing w:val="-6"/>
        </w:rPr>
        <w:t xml:space="preserve"> </w:t>
      </w:r>
      <w:r>
        <w:t>which</w:t>
      </w:r>
      <w:r>
        <w:rPr>
          <w:spacing w:val="-6"/>
        </w:rPr>
        <w:t xml:space="preserve"> </w:t>
      </w:r>
      <w:r>
        <w:t>could</w:t>
      </w:r>
      <w:r>
        <w:rPr>
          <w:spacing w:val="-7"/>
        </w:rPr>
        <w:t xml:space="preserve"> </w:t>
      </w:r>
      <w:r>
        <w:t>be</w:t>
      </w:r>
      <w:r>
        <w:rPr>
          <w:spacing w:val="-6"/>
        </w:rPr>
        <w:t xml:space="preserve"> </w:t>
      </w:r>
      <w:r>
        <w:t>beneficial</w:t>
      </w:r>
      <w:r>
        <w:rPr>
          <w:spacing w:val="-6"/>
        </w:rPr>
        <w:t xml:space="preserve"> </w:t>
      </w:r>
      <w:r>
        <w:t>to</w:t>
      </w:r>
      <w:r>
        <w:rPr>
          <w:spacing w:val="-7"/>
        </w:rPr>
        <w:t xml:space="preserve"> </w:t>
      </w:r>
      <w:r>
        <w:t>individuals</w:t>
      </w:r>
      <w:r>
        <w:rPr>
          <w:spacing w:val="-8"/>
        </w:rPr>
        <w:t xml:space="preserve"> </w:t>
      </w:r>
      <w:r>
        <w:t>with</w:t>
      </w:r>
      <w:r>
        <w:rPr>
          <w:spacing w:val="-7"/>
        </w:rPr>
        <w:t xml:space="preserve"> </w:t>
      </w:r>
      <w:r>
        <w:t>early</w:t>
      </w:r>
      <w:r>
        <w:rPr>
          <w:spacing w:val="-9"/>
        </w:rPr>
        <w:t xml:space="preserve"> </w:t>
      </w:r>
      <w:r>
        <w:t>stage</w:t>
      </w:r>
      <w:r>
        <w:rPr>
          <w:spacing w:val="-5"/>
        </w:rPr>
        <w:t xml:space="preserve"> </w:t>
      </w:r>
      <w:r>
        <w:t>Dementia</w:t>
      </w:r>
      <w:r>
        <w:rPr>
          <w:spacing w:val="-4"/>
        </w:rPr>
        <w:t xml:space="preserve"> </w:t>
      </w:r>
      <w:r>
        <w:t>as</w:t>
      </w:r>
      <w:r>
        <w:rPr>
          <w:spacing w:val="-8"/>
        </w:rPr>
        <w:t xml:space="preserve"> </w:t>
      </w:r>
      <w:r>
        <w:t>they may wish to have support in making informed decisions without the use of a decision making proxy. This may not be an option for all (see also Senate Bill 121 below) and even nationally much of the dialogue regarding Supported Decision Making does focus on its use by individuals with other disabilities.</w:t>
      </w:r>
    </w:p>
    <w:p w14:paraId="1A040125" w14:textId="77777777" w:rsidR="00EA5970" w:rsidRDefault="00EA5970" w:rsidP="00EA5970">
      <w:pPr>
        <w:pStyle w:val="BodyText"/>
        <w:spacing w:before="2"/>
      </w:pPr>
    </w:p>
    <w:p w14:paraId="26ACA270" w14:textId="77777777" w:rsidR="00EA5970" w:rsidRDefault="00EA5970" w:rsidP="00EA5970">
      <w:pPr>
        <w:pStyle w:val="BodyText"/>
        <w:ind w:left="440" w:right="634"/>
        <w:jc w:val="both"/>
      </w:pPr>
      <w:r>
        <w:t>Supported</w:t>
      </w:r>
      <w:r>
        <w:rPr>
          <w:spacing w:val="-14"/>
        </w:rPr>
        <w:t xml:space="preserve"> </w:t>
      </w:r>
      <w:r>
        <w:t>Decision</w:t>
      </w:r>
      <w:r>
        <w:rPr>
          <w:spacing w:val="-14"/>
        </w:rPr>
        <w:t xml:space="preserve"> </w:t>
      </w:r>
      <w:r>
        <w:t>Making</w:t>
      </w:r>
      <w:r>
        <w:rPr>
          <w:spacing w:val="-14"/>
        </w:rPr>
        <w:t xml:space="preserve"> </w:t>
      </w:r>
      <w:r>
        <w:t>is,</w:t>
      </w:r>
      <w:r>
        <w:rPr>
          <w:spacing w:val="-13"/>
        </w:rPr>
        <w:t xml:space="preserve"> </w:t>
      </w:r>
      <w:r>
        <w:t>simply</w:t>
      </w:r>
      <w:r>
        <w:rPr>
          <w:spacing w:val="-14"/>
        </w:rPr>
        <w:t xml:space="preserve"> </w:t>
      </w:r>
      <w:r>
        <w:t>put,</w:t>
      </w:r>
      <w:r>
        <w:rPr>
          <w:spacing w:val="-15"/>
        </w:rPr>
        <w:t xml:space="preserve"> </w:t>
      </w:r>
      <w:r>
        <w:t>where</w:t>
      </w:r>
      <w:r>
        <w:rPr>
          <w:spacing w:val="-16"/>
        </w:rPr>
        <w:t xml:space="preserve"> </w:t>
      </w:r>
      <w:r>
        <w:t>an</w:t>
      </w:r>
      <w:r>
        <w:rPr>
          <w:spacing w:val="-16"/>
        </w:rPr>
        <w:t xml:space="preserve"> </w:t>
      </w:r>
      <w:r>
        <w:t>individual</w:t>
      </w:r>
      <w:r>
        <w:rPr>
          <w:spacing w:val="-14"/>
        </w:rPr>
        <w:t xml:space="preserve"> </w:t>
      </w:r>
      <w:r>
        <w:t>selects</w:t>
      </w:r>
      <w:r>
        <w:rPr>
          <w:spacing w:val="-16"/>
        </w:rPr>
        <w:t xml:space="preserve"> </w:t>
      </w:r>
      <w:r>
        <w:t>one</w:t>
      </w:r>
      <w:r>
        <w:rPr>
          <w:spacing w:val="-13"/>
        </w:rPr>
        <w:t xml:space="preserve"> </w:t>
      </w:r>
      <w:r>
        <w:t>or</w:t>
      </w:r>
      <w:r>
        <w:rPr>
          <w:spacing w:val="-18"/>
        </w:rPr>
        <w:t xml:space="preserve"> </w:t>
      </w:r>
      <w:r>
        <w:t>more</w:t>
      </w:r>
      <w:r>
        <w:rPr>
          <w:spacing w:val="-14"/>
        </w:rPr>
        <w:t xml:space="preserve"> </w:t>
      </w:r>
      <w:r>
        <w:t>supporters</w:t>
      </w:r>
      <w:r>
        <w:rPr>
          <w:spacing w:val="-15"/>
        </w:rPr>
        <w:t xml:space="preserve"> </w:t>
      </w:r>
      <w:r>
        <w:t>to</w:t>
      </w:r>
      <w:r>
        <w:rPr>
          <w:spacing w:val="-15"/>
        </w:rPr>
        <w:t xml:space="preserve"> </w:t>
      </w:r>
      <w:r>
        <w:t>assist them regarding specific decisions they may wish to make (for example, consenting to medical treatment). The existence of the agreement cannot be used to argue that the individual being supported</w:t>
      </w:r>
      <w:r>
        <w:rPr>
          <w:spacing w:val="-12"/>
        </w:rPr>
        <w:t xml:space="preserve"> </w:t>
      </w:r>
      <w:r>
        <w:t>needs</w:t>
      </w:r>
      <w:r>
        <w:rPr>
          <w:spacing w:val="-12"/>
        </w:rPr>
        <w:t xml:space="preserve"> </w:t>
      </w:r>
      <w:r>
        <w:t>a</w:t>
      </w:r>
      <w:r>
        <w:rPr>
          <w:spacing w:val="-11"/>
        </w:rPr>
        <w:t xml:space="preserve"> </w:t>
      </w:r>
      <w:r>
        <w:t>guardian</w:t>
      </w:r>
      <w:r>
        <w:rPr>
          <w:spacing w:val="-11"/>
        </w:rPr>
        <w:t xml:space="preserve"> </w:t>
      </w:r>
      <w:r>
        <w:t>and</w:t>
      </w:r>
      <w:r>
        <w:rPr>
          <w:spacing w:val="-11"/>
        </w:rPr>
        <w:t xml:space="preserve"> </w:t>
      </w:r>
      <w:r>
        <w:t>the</w:t>
      </w:r>
      <w:r>
        <w:rPr>
          <w:spacing w:val="-11"/>
        </w:rPr>
        <w:t xml:space="preserve"> </w:t>
      </w:r>
      <w:r>
        <w:t>individual</w:t>
      </w:r>
      <w:r>
        <w:rPr>
          <w:spacing w:val="-12"/>
        </w:rPr>
        <w:t xml:space="preserve"> </w:t>
      </w:r>
      <w:r>
        <w:t>at</w:t>
      </w:r>
      <w:r>
        <w:rPr>
          <w:spacing w:val="-11"/>
        </w:rPr>
        <w:t xml:space="preserve"> </w:t>
      </w:r>
      <w:r>
        <w:t>all</w:t>
      </w:r>
      <w:r>
        <w:rPr>
          <w:spacing w:val="-13"/>
        </w:rPr>
        <w:t xml:space="preserve"> </w:t>
      </w:r>
      <w:r>
        <w:t>times</w:t>
      </w:r>
      <w:r>
        <w:rPr>
          <w:spacing w:val="-13"/>
        </w:rPr>
        <w:t xml:space="preserve"> </w:t>
      </w:r>
      <w:r>
        <w:t>retains</w:t>
      </w:r>
      <w:r>
        <w:rPr>
          <w:spacing w:val="-12"/>
        </w:rPr>
        <w:t xml:space="preserve"> </w:t>
      </w:r>
      <w:r>
        <w:t>the</w:t>
      </w:r>
      <w:r>
        <w:rPr>
          <w:spacing w:val="-11"/>
        </w:rPr>
        <w:t xml:space="preserve"> </w:t>
      </w:r>
      <w:r>
        <w:t>final</w:t>
      </w:r>
      <w:r>
        <w:rPr>
          <w:spacing w:val="-10"/>
        </w:rPr>
        <w:t xml:space="preserve"> </w:t>
      </w:r>
      <w:r>
        <w:t>say</w:t>
      </w:r>
      <w:r>
        <w:rPr>
          <w:spacing w:val="-11"/>
        </w:rPr>
        <w:t xml:space="preserve"> </w:t>
      </w:r>
      <w:r>
        <w:t>on</w:t>
      </w:r>
      <w:r>
        <w:rPr>
          <w:spacing w:val="-11"/>
        </w:rPr>
        <w:t xml:space="preserve"> </w:t>
      </w:r>
      <w:r>
        <w:t>the</w:t>
      </w:r>
      <w:r>
        <w:rPr>
          <w:spacing w:val="-12"/>
        </w:rPr>
        <w:t xml:space="preserve"> </w:t>
      </w:r>
      <w:r>
        <w:t>choice</w:t>
      </w:r>
      <w:r>
        <w:rPr>
          <w:spacing w:val="-10"/>
        </w:rPr>
        <w:t xml:space="preserve"> </w:t>
      </w:r>
      <w:r>
        <w:t>they</w:t>
      </w:r>
      <w:r>
        <w:rPr>
          <w:spacing w:val="-10"/>
        </w:rPr>
        <w:t xml:space="preserve"> </w:t>
      </w:r>
      <w:r>
        <w:t>make. The supporter may assist with communicating that choice, informing the individual of their options, or the like, but they have no actual authority to make the decision for the individual. The law also provides some protection from liability for those who rely on an individual’s decision made in accordance with the</w:t>
      </w:r>
      <w:r>
        <w:rPr>
          <w:spacing w:val="-3"/>
        </w:rPr>
        <w:t xml:space="preserve"> </w:t>
      </w:r>
      <w:r>
        <w:t>agreement.</w:t>
      </w:r>
    </w:p>
    <w:p w14:paraId="47E06CCB" w14:textId="77777777" w:rsidR="00EA5970" w:rsidRDefault="00EA5970" w:rsidP="00EA5970">
      <w:pPr>
        <w:pStyle w:val="BodyText"/>
        <w:spacing w:before="10"/>
        <w:rPr>
          <w:sz w:val="23"/>
        </w:rPr>
      </w:pPr>
    </w:p>
    <w:p w14:paraId="2D239E6D" w14:textId="537A78B0" w:rsidR="00EA5970" w:rsidRDefault="00EA5970" w:rsidP="00033346">
      <w:pPr>
        <w:pStyle w:val="BodyText"/>
        <w:ind w:left="440" w:right="634"/>
        <w:jc w:val="both"/>
      </w:pPr>
      <w:r>
        <w:rPr>
          <w:b/>
        </w:rPr>
        <w:t xml:space="preserve">Senate Bill 20 </w:t>
      </w:r>
      <w:r>
        <w:t>– Senate Bill 20 covers multiple Guardianship specific areas. Guardianship is a court process by which an individual is deemed legally incapacitated and a guardian is appointed to make decisions in their best interests while also taking into consideration their wishes to the greatest exte</w:t>
      </w:r>
      <w:r w:rsidR="00033346">
        <w:t xml:space="preserve">nt </w:t>
      </w:r>
      <w:r>
        <w:t>possible (see, for example, the provisions of 2017’s Senate Bill 360, creating the Protected Person’s Bill of Rights). While there were numerous Guardianship reforms in the 2017 session, Senate Bill 20 sought in 2019 to adjust some areas of those reforms and address other gaps. This included:</w:t>
      </w:r>
    </w:p>
    <w:p w14:paraId="4A817FA2" w14:textId="77777777" w:rsidR="00EA5970" w:rsidRDefault="00EA5970" w:rsidP="00EA5970">
      <w:pPr>
        <w:pStyle w:val="BodyText"/>
      </w:pPr>
    </w:p>
    <w:p w14:paraId="650A40FE" w14:textId="77777777" w:rsidR="00EA5970" w:rsidRDefault="00EA5970" w:rsidP="00EA5970">
      <w:pPr>
        <w:pStyle w:val="ListParagraph"/>
        <w:numPr>
          <w:ilvl w:val="0"/>
          <w:numId w:val="1"/>
        </w:numPr>
        <w:tabs>
          <w:tab w:val="left" w:pos="801"/>
        </w:tabs>
        <w:ind w:right="640"/>
        <w:rPr>
          <w:sz w:val="24"/>
        </w:rPr>
      </w:pPr>
      <w:r>
        <w:rPr>
          <w:sz w:val="24"/>
        </w:rPr>
        <w:t>Addressing the issue of successor guardianships. This involves planning for when/if an existing guardian is no longer able to serve in their</w:t>
      </w:r>
      <w:r>
        <w:rPr>
          <w:spacing w:val="-8"/>
          <w:sz w:val="24"/>
        </w:rPr>
        <w:t xml:space="preserve"> </w:t>
      </w:r>
      <w:r>
        <w:rPr>
          <w:sz w:val="24"/>
        </w:rPr>
        <w:t>role.</w:t>
      </w:r>
    </w:p>
    <w:p w14:paraId="556C33A1" w14:textId="77777777" w:rsidR="00EA5970" w:rsidRDefault="00EA5970" w:rsidP="00EA5970">
      <w:pPr>
        <w:pStyle w:val="ListParagraph"/>
        <w:numPr>
          <w:ilvl w:val="0"/>
          <w:numId w:val="1"/>
        </w:numPr>
        <w:tabs>
          <w:tab w:val="left" w:pos="801"/>
        </w:tabs>
        <w:rPr>
          <w:sz w:val="24"/>
        </w:rPr>
      </w:pPr>
      <w:r>
        <w:rPr>
          <w:sz w:val="24"/>
        </w:rPr>
        <w:t>Including provision for use of Temporary Guardianships (also known as emergency or</w:t>
      </w:r>
      <w:r>
        <w:rPr>
          <w:spacing w:val="-43"/>
          <w:sz w:val="24"/>
        </w:rPr>
        <w:t xml:space="preserve"> </w:t>
      </w:r>
      <w:r>
        <w:rPr>
          <w:sz w:val="24"/>
        </w:rPr>
        <w:t>expedited guardianships) related to transfer and discharge concerns for an individual. Temporary Guardianships can be of concern because of the suspension of certain important procedural protections in service of emergency authority over another</w:t>
      </w:r>
      <w:r>
        <w:rPr>
          <w:spacing w:val="-9"/>
          <w:sz w:val="24"/>
        </w:rPr>
        <w:t xml:space="preserve"> </w:t>
      </w:r>
      <w:r>
        <w:rPr>
          <w:sz w:val="24"/>
        </w:rPr>
        <w:t>person.</w:t>
      </w:r>
    </w:p>
    <w:p w14:paraId="33057BC9" w14:textId="77777777" w:rsidR="00EA5970" w:rsidRDefault="00EA5970" w:rsidP="00EA5970">
      <w:pPr>
        <w:pStyle w:val="ListParagraph"/>
        <w:numPr>
          <w:ilvl w:val="0"/>
          <w:numId w:val="1"/>
        </w:numPr>
        <w:tabs>
          <w:tab w:val="left" w:pos="801"/>
        </w:tabs>
        <w:rPr>
          <w:sz w:val="24"/>
        </w:rPr>
      </w:pPr>
      <w:r>
        <w:rPr>
          <w:sz w:val="24"/>
        </w:rPr>
        <w:t>Referencing Temporary Guardianship authority to possibly include application for assistance or Medicaid</w:t>
      </w:r>
      <w:r>
        <w:rPr>
          <w:spacing w:val="-10"/>
          <w:sz w:val="24"/>
        </w:rPr>
        <w:t xml:space="preserve"> </w:t>
      </w:r>
      <w:r>
        <w:rPr>
          <w:sz w:val="24"/>
        </w:rPr>
        <w:t>and</w:t>
      </w:r>
      <w:r>
        <w:rPr>
          <w:spacing w:val="-10"/>
          <w:sz w:val="24"/>
        </w:rPr>
        <w:t xml:space="preserve"> </w:t>
      </w:r>
      <w:r>
        <w:rPr>
          <w:sz w:val="24"/>
        </w:rPr>
        <w:t>adding</w:t>
      </w:r>
      <w:r>
        <w:rPr>
          <w:spacing w:val="-9"/>
          <w:sz w:val="24"/>
        </w:rPr>
        <w:t xml:space="preserve"> </w:t>
      </w:r>
      <w:r>
        <w:rPr>
          <w:sz w:val="24"/>
        </w:rPr>
        <w:t>requirements</w:t>
      </w:r>
      <w:r>
        <w:rPr>
          <w:spacing w:val="-11"/>
          <w:sz w:val="24"/>
        </w:rPr>
        <w:t xml:space="preserve"> </w:t>
      </w:r>
      <w:r>
        <w:rPr>
          <w:sz w:val="24"/>
        </w:rPr>
        <w:t>related</w:t>
      </w:r>
      <w:r>
        <w:rPr>
          <w:spacing w:val="-9"/>
          <w:sz w:val="24"/>
        </w:rPr>
        <w:t xml:space="preserve"> </w:t>
      </w:r>
      <w:r>
        <w:rPr>
          <w:sz w:val="24"/>
        </w:rPr>
        <w:t>to</w:t>
      </w:r>
      <w:r>
        <w:rPr>
          <w:spacing w:val="-11"/>
          <w:sz w:val="24"/>
        </w:rPr>
        <w:t xml:space="preserve"> </w:t>
      </w:r>
      <w:r>
        <w:rPr>
          <w:sz w:val="24"/>
        </w:rPr>
        <w:t>the</w:t>
      </w:r>
      <w:r>
        <w:rPr>
          <w:spacing w:val="-9"/>
          <w:sz w:val="24"/>
        </w:rPr>
        <w:t xml:space="preserve"> </w:t>
      </w:r>
      <w:r>
        <w:rPr>
          <w:sz w:val="24"/>
        </w:rPr>
        <w:t>Temporary</w:t>
      </w:r>
      <w:r>
        <w:rPr>
          <w:spacing w:val="-10"/>
          <w:sz w:val="24"/>
        </w:rPr>
        <w:t xml:space="preserve"> </w:t>
      </w:r>
      <w:r>
        <w:rPr>
          <w:sz w:val="24"/>
        </w:rPr>
        <w:t>Guardian</w:t>
      </w:r>
      <w:r>
        <w:rPr>
          <w:spacing w:val="-10"/>
          <w:sz w:val="24"/>
        </w:rPr>
        <w:t xml:space="preserve"> </w:t>
      </w:r>
      <w:r>
        <w:rPr>
          <w:sz w:val="24"/>
        </w:rPr>
        <w:t>showing</w:t>
      </w:r>
      <w:r>
        <w:rPr>
          <w:spacing w:val="-7"/>
          <w:sz w:val="24"/>
        </w:rPr>
        <w:t xml:space="preserve"> </w:t>
      </w:r>
      <w:r>
        <w:rPr>
          <w:sz w:val="24"/>
        </w:rPr>
        <w:t>what</w:t>
      </w:r>
      <w:r>
        <w:rPr>
          <w:spacing w:val="-11"/>
          <w:sz w:val="24"/>
        </w:rPr>
        <w:t xml:space="preserve"> </w:t>
      </w:r>
      <w:r>
        <w:rPr>
          <w:sz w:val="24"/>
        </w:rPr>
        <w:t>actions</w:t>
      </w:r>
      <w:r>
        <w:rPr>
          <w:spacing w:val="-10"/>
          <w:sz w:val="24"/>
        </w:rPr>
        <w:t xml:space="preserve"> </w:t>
      </w:r>
      <w:r>
        <w:rPr>
          <w:sz w:val="24"/>
        </w:rPr>
        <w:t xml:space="preserve">were taken during their authorized temporary </w:t>
      </w:r>
      <w:r>
        <w:rPr>
          <w:sz w:val="24"/>
        </w:rPr>
        <w:lastRenderedPageBreak/>
        <w:t>role when considering future requests for authority (meant to combat use of these guardianships based on stated emergencies which are then not addressed in the initial maximum ten day</w:t>
      </w:r>
      <w:r>
        <w:rPr>
          <w:spacing w:val="-3"/>
          <w:sz w:val="24"/>
        </w:rPr>
        <w:t xml:space="preserve"> </w:t>
      </w:r>
      <w:r>
        <w:rPr>
          <w:sz w:val="24"/>
        </w:rPr>
        <w:t>window).</w:t>
      </w:r>
    </w:p>
    <w:p w14:paraId="746A8EC1" w14:textId="77777777" w:rsidR="00EA5970" w:rsidRDefault="00EA5970" w:rsidP="00EA5970">
      <w:pPr>
        <w:pStyle w:val="ListParagraph"/>
        <w:numPr>
          <w:ilvl w:val="0"/>
          <w:numId w:val="1"/>
        </w:numPr>
        <w:tabs>
          <w:tab w:val="left" w:pos="801"/>
        </w:tabs>
        <w:spacing w:before="2"/>
        <w:ind w:right="633"/>
        <w:rPr>
          <w:sz w:val="24"/>
        </w:rPr>
      </w:pPr>
      <w:r>
        <w:rPr>
          <w:sz w:val="24"/>
        </w:rPr>
        <w:t>Allowance</w:t>
      </w:r>
      <w:r>
        <w:rPr>
          <w:spacing w:val="-12"/>
          <w:sz w:val="24"/>
        </w:rPr>
        <w:t xml:space="preserve"> </w:t>
      </w:r>
      <w:r>
        <w:rPr>
          <w:sz w:val="24"/>
        </w:rPr>
        <w:t>of</w:t>
      </w:r>
      <w:r>
        <w:rPr>
          <w:spacing w:val="-13"/>
          <w:sz w:val="24"/>
        </w:rPr>
        <w:t xml:space="preserve"> </w:t>
      </w:r>
      <w:r>
        <w:rPr>
          <w:sz w:val="24"/>
        </w:rPr>
        <w:t>certain</w:t>
      </w:r>
      <w:r>
        <w:rPr>
          <w:spacing w:val="-14"/>
          <w:sz w:val="24"/>
        </w:rPr>
        <w:t xml:space="preserve"> </w:t>
      </w:r>
      <w:r>
        <w:rPr>
          <w:sz w:val="24"/>
        </w:rPr>
        <w:t>appearance</w:t>
      </w:r>
      <w:r>
        <w:rPr>
          <w:spacing w:val="-14"/>
          <w:sz w:val="24"/>
        </w:rPr>
        <w:t xml:space="preserve"> </w:t>
      </w:r>
      <w:r>
        <w:rPr>
          <w:sz w:val="24"/>
        </w:rPr>
        <w:t>waivers</w:t>
      </w:r>
      <w:r>
        <w:rPr>
          <w:spacing w:val="-14"/>
          <w:sz w:val="24"/>
        </w:rPr>
        <w:t xml:space="preserve"> </w:t>
      </w:r>
      <w:r>
        <w:rPr>
          <w:sz w:val="24"/>
        </w:rPr>
        <w:t>and</w:t>
      </w:r>
      <w:r>
        <w:rPr>
          <w:spacing w:val="-15"/>
          <w:sz w:val="24"/>
        </w:rPr>
        <w:t xml:space="preserve"> </w:t>
      </w:r>
      <w:r>
        <w:rPr>
          <w:sz w:val="24"/>
        </w:rPr>
        <w:t>alternate</w:t>
      </w:r>
      <w:r>
        <w:rPr>
          <w:spacing w:val="-12"/>
          <w:sz w:val="24"/>
        </w:rPr>
        <w:t xml:space="preserve"> </w:t>
      </w:r>
      <w:r>
        <w:rPr>
          <w:sz w:val="24"/>
        </w:rPr>
        <w:t>appearance</w:t>
      </w:r>
      <w:r>
        <w:rPr>
          <w:spacing w:val="-4"/>
          <w:sz w:val="24"/>
        </w:rPr>
        <w:t xml:space="preserve"> </w:t>
      </w:r>
      <w:r>
        <w:rPr>
          <w:sz w:val="24"/>
        </w:rPr>
        <w:t>methods</w:t>
      </w:r>
      <w:r>
        <w:rPr>
          <w:spacing w:val="-13"/>
          <w:sz w:val="24"/>
        </w:rPr>
        <w:t xml:space="preserve"> </w:t>
      </w:r>
      <w:r>
        <w:rPr>
          <w:sz w:val="24"/>
        </w:rPr>
        <w:t>such</w:t>
      </w:r>
      <w:r>
        <w:rPr>
          <w:spacing w:val="-12"/>
          <w:sz w:val="24"/>
        </w:rPr>
        <w:t xml:space="preserve"> </w:t>
      </w:r>
      <w:r>
        <w:rPr>
          <w:sz w:val="24"/>
        </w:rPr>
        <w:t>as</w:t>
      </w:r>
      <w:r>
        <w:rPr>
          <w:spacing w:val="-13"/>
          <w:sz w:val="24"/>
        </w:rPr>
        <w:t xml:space="preserve"> </w:t>
      </w:r>
      <w:r>
        <w:rPr>
          <w:sz w:val="24"/>
        </w:rPr>
        <w:t>audio</w:t>
      </w:r>
      <w:r>
        <w:rPr>
          <w:spacing w:val="-11"/>
          <w:sz w:val="24"/>
        </w:rPr>
        <w:t xml:space="preserve"> </w:t>
      </w:r>
      <w:r>
        <w:rPr>
          <w:sz w:val="24"/>
        </w:rPr>
        <w:t>or</w:t>
      </w:r>
      <w:r>
        <w:rPr>
          <w:spacing w:val="-13"/>
          <w:sz w:val="24"/>
        </w:rPr>
        <w:t xml:space="preserve"> </w:t>
      </w:r>
      <w:r>
        <w:rPr>
          <w:sz w:val="24"/>
        </w:rPr>
        <w:t>video appearances. This can be helpful if presence in person at court is contraindicated by a</w:t>
      </w:r>
      <w:r>
        <w:rPr>
          <w:spacing w:val="-37"/>
          <w:sz w:val="24"/>
        </w:rPr>
        <w:t xml:space="preserve"> </w:t>
      </w:r>
      <w:r>
        <w:rPr>
          <w:sz w:val="24"/>
        </w:rPr>
        <w:t>physician.</w:t>
      </w:r>
    </w:p>
    <w:p w14:paraId="36F37FEB" w14:textId="77777777" w:rsidR="00EA5970" w:rsidRDefault="00EA5970" w:rsidP="00EA5970">
      <w:pPr>
        <w:pStyle w:val="ListParagraph"/>
        <w:numPr>
          <w:ilvl w:val="0"/>
          <w:numId w:val="1"/>
        </w:numPr>
        <w:tabs>
          <w:tab w:val="left" w:pos="801"/>
        </w:tabs>
        <w:ind w:right="633"/>
        <w:rPr>
          <w:sz w:val="24"/>
        </w:rPr>
      </w:pPr>
      <w:r>
        <w:rPr>
          <w:sz w:val="24"/>
        </w:rPr>
        <w:t>Clarification as to notification by guardians to interested persons for changes of residence for</w:t>
      </w:r>
      <w:r>
        <w:rPr>
          <w:spacing w:val="-42"/>
          <w:sz w:val="24"/>
        </w:rPr>
        <w:t xml:space="preserve"> </w:t>
      </w:r>
      <w:r>
        <w:rPr>
          <w:sz w:val="24"/>
        </w:rPr>
        <w:t>the protected person in certain emergency</w:t>
      </w:r>
      <w:r>
        <w:rPr>
          <w:spacing w:val="-2"/>
          <w:sz w:val="24"/>
        </w:rPr>
        <w:t xml:space="preserve"> </w:t>
      </w:r>
      <w:r>
        <w:rPr>
          <w:sz w:val="24"/>
        </w:rPr>
        <w:t>situations.</w:t>
      </w:r>
    </w:p>
    <w:p w14:paraId="367F3350" w14:textId="77777777" w:rsidR="00EA5970" w:rsidRDefault="00EA5970" w:rsidP="00EA5970">
      <w:pPr>
        <w:pStyle w:val="ListParagraph"/>
        <w:numPr>
          <w:ilvl w:val="0"/>
          <w:numId w:val="1"/>
        </w:numPr>
        <w:tabs>
          <w:tab w:val="left" w:pos="801"/>
        </w:tabs>
        <w:ind w:right="632"/>
        <w:rPr>
          <w:sz w:val="24"/>
        </w:rPr>
      </w:pPr>
      <w:r>
        <w:rPr>
          <w:sz w:val="24"/>
        </w:rPr>
        <w:t>Correction</w:t>
      </w:r>
      <w:r>
        <w:rPr>
          <w:spacing w:val="-14"/>
          <w:sz w:val="24"/>
        </w:rPr>
        <w:t xml:space="preserve"> </w:t>
      </w:r>
      <w:r>
        <w:rPr>
          <w:sz w:val="24"/>
        </w:rPr>
        <w:t>of</w:t>
      </w:r>
      <w:r>
        <w:rPr>
          <w:spacing w:val="-15"/>
          <w:sz w:val="24"/>
        </w:rPr>
        <w:t xml:space="preserve"> </w:t>
      </w:r>
      <w:r>
        <w:rPr>
          <w:sz w:val="24"/>
        </w:rPr>
        <w:t>the</w:t>
      </w:r>
      <w:r>
        <w:rPr>
          <w:spacing w:val="-14"/>
          <w:sz w:val="24"/>
        </w:rPr>
        <w:t xml:space="preserve"> </w:t>
      </w:r>
      <w:r>
        <w:rPr>
          <w:sz w:val="24"/>
        </w:rPr>
        <w:t>term</w:t>
      </w:r>
      <w:r>
        <w:rPr>
          <w:spacing w:val="-16"/>
          <w:sz w:val="24"/>
        </w:rPr>
        <w:t xml:space="preserve"> </w:t>
      </w:r>
      <w:r>
        <w:rPr>
          <w:sz w:val="24"/>
        </w:rPr>
        <w:t>“Supported</w:t>
      </w:r>
      <w:r>
        <w:rPr>
          <w:spacing w:val="-13"/>
          <w:sz w:val="24"/>
        </w:rPr>
        <w:t xml:space="preserve"> </w:t>
      </w:r>
      <w:r>
        <w:rPr>
          <w:sz w:val="24"/>
        </w:rPr>
        <w:t>Living</w:t>
      </w:r>
      <w:r>
        <w:rPr>
          <w:spacing w:val="-14"/>
          <w:sz w:val="24"/>
        </w:rPr>
        <w:t xml:space="preserve"> </w:t>
      </w:r>
      <w:r>
        <w:rPr>
          <w:sz w:val="24"/>
        </w:rPr>
        <w:t>Arrangement</w:t>
      </w:r>
      <w:r>
        <w:rPr>
          <w:spacing w:val="-14"/>
          <w:sz w:val="24"/>
        </w:rPr>
        <w:t xml:space="preserve"> </w:t>
      </w:r>
      <w:r>
        <w:rPr>
          <w:sz w:val="24"/>
        </w:rPr>
        <w:t>Services”</w:t>
      </w:r>
      <w:r>
        <w:rPr>
          <w:spacing w:val="-14"/>
          <w:sz w:val="24"/>
        </w:rPr>
        <w:t xml:space="preserve"> </w:t>
      </w:r>
      <w:r>
        <w:rPr>
          <w:sz w:val="24"/>
        </w:rPr>
        <w:t>to</w:t>
      </w:r>
      <w:r>
        <w:rPr>
          <w:spacing w:val="-16"/>
          <w:sz w:val="24"/>
        </w:rPr>
        <w:t xml:space="preserve"> </w:t>
      </w:r>
      <w:r>
        <w:rPr>
          <w:sz w:val="24"/>
        </w:rPr>
        <w:t>correct</w:t>
      </w:r>
      <w:r>
        <w:rPr>
          <w:spacing w:val="-17"/>
          <w:sz w:val="24"/>
        </w:rPr>
        <w:t xml:space="preserve"> </w:t>
      </w:r>
      <w:r>
        <w:rPr>
          <w:sz w:val="24"/>
        </w:rPr>
        <w:t>a</w:t>
      </w:r>
      <w:r>
        <w:rPr>
          <w:spacing w:val="-14"/>
          <w:sz w:val="24"/>
        </w:rPr>
        <w:t xml:space="preserve"> </w:t>
      </w:r>
      <w:r>
        <w:rPr>
          <w:sz w:val="24"/>
        </w:rPr>
        <w:t>prior</w:t>
      </w:r>
      <w:r>
        <w:rPr>
          <w:spacing w:val="-16"/>
          <w:sz w:val="24"/>
        </w:rPr>
        <w:t xml:space="preserve"> </w:t>
      </w:r>
      <w:r>
        <w:rPr>
          <w:sz w:val="24"/>
        </w:rPr>
        <w:t>error</w:t>
      </w:r>
      <w:r>
        <w:rPr>
          <w:spacing w:val="-15"/>
          <w:sz w:val="24"/>
        </w:rPr>
        <w:t xml:space="preserve"> </w:t>
      </w:r>
      <w:r>
        <w:rPr>
          <w:sz w:val="24"/>
        </w:rPr>
        <w:t>in</w:t>
      </w:r>
      <w:r>
        <w:rPr>
          <w:spacing w:val="-14"/>
          <w:sz w:val="24"/>
        </w:rPr>
        <w:t xml:space="preserve"> </w:t>
      </w:r>
      <w:r>
        <w:rPr>
          <w:sz w:val="24"/>
        </w:rPr>
        <w:t>statute that was being strictly construed by</w:t>
      </w:r>
      <w:r>
        <w:rPr>
          <w:spacing w:val="-5"/>
          <w:sz w:val="24"/>
        </w:rPr>
        <w:t xml:space="preserve"> </w:t>
      </w:r>
      <w:r>
        <w:rPr>
          <w:sz w:val="24"/>
        </w:rPr>
        <w:t>judges.</w:t>
      </w:r>
    </w:p>
    <w:p w14:paraId="48E04ED7" w14:textId="77777777" w:rsidR="00EA5970" w:rsidRDefault="00EA5970" w:rsidP="00EA5970">
      <w:pPr>
        <w:pStyle w:val="ListParagraph"/>
        <w:numPr>
          <w:ilvl w:val="0"/>
          <w:numId w:val="1"/>
        </w:numPr>
        <w:tabs>
          <w:tab w:val="left" w:pos="801"/>
        </w:tabs>
        <w:ind w:right="632"/>
        <w:rPr>
          <w:sz w:val="24"/>
        </w:rPr>
      </w:pPr>
      <w:r>
        <w:rPr>
          <w:sz w:val="24"/>
        </w:rPr>
        <w:t>Changes</w:t>
      </w:r>
      <w:r>
        <w:rPr>
          <w:spacing w:val="-7"/>
          <w:sz w:val="24"/>
        </w:rPr>
        <w:t xml:space="preserve"> </w:t>
      </w:r>
      <w:r>
        <w:rPr>
          <w:sz w:val="24"/>
        </w:rPr>
        <w:t>to</w:t>
      </w:r>
      <w:r>
        <w:rPr>
          <w:spacing w:val="-5"/>
          <w:sz w:val="24"/>
        </w:rPr>
        <w:t xml:space="preserve"> </w:t>
      </w:r>
      <w:r>
        <w:rPr>
          <w:sz w:val="24"/>
        </w:rPr>
        <w:t>the</w:t>
      </w:r>
      <w:r>
        <w:rPr>
          <w:spacing w:val="-4"/>
          <w:sz w:val="24"/>
        </w:rPr>
        <w:t xml:space="preserve"> </w:t>
      </w:r>
      <w:r>
        <w:rPr>
          <w:sz w:val="24"/>
        </w:rPr>
        <w:t>rights</w:t>
      </w:r>
      <w:r>
        <w:rPr>
          <w:spacing w:val="-8"/>
          <w:sz w:val="24"/>
        </w:rPr>
        <w:t xml:space="preserve"> </w:t>
      </w:r>
      <w:r>
        <w:rPr>
          <w:sz w:val="24"/>
        </w:rPr>
        <w:t>of</w:t>
      </w:r>
      <w:r>
        <w:rPr>
          <w:spacing w:val="-6"/>
          <w:sz w:val="24"/>
        </w:rPr>
        <w:t xml:space="preserve"> </w:t>
      </w:r>
      <w:r>
        <w:rPr>
          <w:sz w:val="24"/>
        </w:rPr>
        <w:t>refusal</w:t>
      </w:r>
      <w:r>
        <w:rPr>
          <w:spacing w:val="-5"/>
          <w:sz w:val="24"/>
        </w:rPr>
        <w:t xml:space="preserve"> </w:t>
      </w:r>
      <w:r>
        <w:rPr>
          <w:sz w:val="24"/>
        </w:rPr>
        <w:t>rules</w:t>
      </w:r>
      <w:r>
        <w:rPr>
          <w:spacing w:val="-6"/>
          <w:sz w:val="24"/>
        </w:rPr>
        <w:t xml:space="preserve"> </w:t>
      </w:r>
      <w:r>
        <w:rPr>
          <w:sz w:val="24"/>
        </w:rPr>
        <w:t>as</w:t>
      </w:r>
      <w:r>
        <w:rPr>
          <w:spacing w:val="-7"/>
          <w:sz w:val="24"/>
        </w:rPr>
        <w:t xml:space="preserve"> </w:t>
      </w:r>
      <w:r>
        <w:rPr>
          <w:sz w:val="24"/>
        </w:rPr>
        <w:t>to</w:t>
      </w:r>
      <w:r>
        <w:rPr>
          <w:spacing w:val="-5"/>
          <w:sz w:val="24"/>
        </w:rPr>
        <w:t xml:space="preserve"> </w:t>
      </w:r>
      <w:r>
        <w:rPr>
          <w:sz w:val="24"/>
        </w:rPr>
        <w:t>personal</w:t>
      </w:r>
      <w:r>
        <w:rPr>
          <w:spacing w:val="-5"/>
          <w:sz w:val="24"/>
        </w:rPr>
        <w:t xml:space="preserve"> </w:t>
      </w:r>
      <w:r>
        <w:rPr>
          <w:sz w:val="24"/>
        </w:rPr>
        <w:t>property</w:t>
      </w:r>
      <w:r>
        <w:rPr>
          <w:spacing w:val="-5"/>
          <w:sz w:val="24"/>
        </w:rPr>
        <w:t xml:space="preserve"> </w:t>
      </w:r>
      <w:r>
        <w:rPr>
          <w:sz w:val="24"/>
        </w:rPr>
        <w:t>sales</w:t>
      </w:r>
      <w:r>
        <w:rPr>
          <w:spacing w:val="-6"/>
          <w:sz w:val="24"/>
        </w:rPr>
        <w:t xml:space="preserve"> </w:t>
      </w:r>
      <w:r>
        <w:rPr>
          <w:sz w:val="24"/>
        </w:rPr>
        <w:t>(how</w:t>
      </w:r>
      <w:r>
        <w:rPr>
          <w:spacing w:val="-4"/>
          <w:sz w:val="24"/>
        </w:rPr>
        <w:t xml:space="preserve"> </w:t>
      </w:r>
      <w:r>
        <w:rPr>
          <w:sz w:val="24"/>
        </w:rPr>
        <w:t>offers</w:t>
      </w:r>
      <w:r>
        <w:rPr>
          <w:spacing w:val="-5"/>
          <w:sz w:val="24"/>
        </w:rPr>
        <w:t xml:space="preserve"> </w:t>
      </w:r>
      <w:r>
        <w:rPr>
          <w:sz w:val="24"/>
        </w:rPr>
        <w:t>to</w:t>
      </w:r>
      <w:r>
        <w:rPr>
          <w:spacing w:val="-5"/>
          <w:sz w:val="24"/>
        </w:rPr>
        <w:t xml:space="preserve"> </w:t>
      </w:r>
      <w:r>
        <w:rPr>
          <w:sz w:val="24"/>
        </w:rPr>
        <w:t>family</w:t>
      </w:r>
      <w:r>
        <w:rPr>
          <w:spacing w:val="-4"/>
          <w:sz w:val="24"/>
        </w:rPr>
        <w:t xml:space="preserve"> </w:t>
      </w:r>
      <w:r>
        <w:rPr>
          <w:sz w:val="24"/>
        </w:rPr>
        <w:t>members are</w:t>
      </w:r>
      <w:r>
        <w:rPr>
          <w:spacing w:val="-2"/>
          <w:sz w:val="24"/>
        </w:rPr>
        <w:t xml:space="preserve"> </w:t>
      </w:r>
      <w:r>
        <w:rPr>
          <w:sz w:val="24"/>
        </w:rPr>
        <w:t>handled).</w:t>
      </w:r>
    </w:p>
    <w:p w14:paraId="603D7295" w14:textId="77777777" w:rsidR="00EA5970" w:rsidRDefault="00EA5970" w:rsidP="00EA5970">
      <w:pPr>
        <w:pStyle w:val="ListParagraph"/>
        <w:numPr>
          <w:ilvl w:val="0"/>
          <w:numId w:val="1"/>
        </w:numPr>
        <w:tabs>
          <w:tab w:val="left" w:pos="800"/>
          <w:tab w:val="left" w:pos="801"/>
        </w:tabs>
        <w:spacing w:line="269" w:lineRule="exact"/>
        <w:rPr>
          <w:sz w:val="24"/>
        </w:rPr>
      </w:pPr>
      <w:r>
        <w:rPr>
          <w:sz w:val="24"/>
        </w:rPr>
        <w:t>Elimination of requirements to include receipts unless court</w:t>
      </w:r>
      <w:r>
        <w:rPr>
          <w:spacing w:val="-10"/>
          <w:sz w:val="24"/>
        </w:rPr>
        <w:t xml:space="preserve"> </w:t>
      </w:r>
      <w:r>
        <w:rPr>
          <w:sz w:val="24"/>
        </w:rPr>
        <w:t>ordered.</w:t>
      </w:r>
    </w:p>
    <w:p w14:paraId="3061AE39" w14:textId="0A78C050" w:rsidR="00EA5970" w:rsidRDefault="00EA5970" w:rsidP="00EA5970">
      <w:pPr>
        <w:pStyle w:val="ListParagraph"/>
        <w:numPr>
          <w:ilvl w:val="0"/>
          <w:numId w:val="1"/>
        </w:numPr>
        <w:tabs>
          <w:tab w:val="left" w:pos="801"/>
        </w:tabs>
        <w:rPr>
          <w:sz w:val="24"/>
        </w:rPr>
      </w:pPr>
      <w:r>
        <w:rPr>
          <w:sz w:val="24"/>
        </w:rPr>
        <w:t>Recording</w:t>
      </w:r>
      <w:r>
        <w:rPr>
          <w:spacing w:val="-6"/>
          <w:sz w:val="24"/>
        </w:rPr>
        <w:t xml:space="preserve"> </w:t>
      </w:r>
      <w:r>
        <w:rPr>
          <w:sz w:val="24"/>
        </w:rPr>
        <w:t>fee</w:t>
      </w:r>
      <w:r>
        <w:rPr>
          <w:spacing w:val="-6"/>
          <w:sz w:val="24"/>
        </w:rPr>
        <w:t xml:space="preserve"> </w:t>
      </w:r>
      <w:r>
        <w:rPr>
          <w:sz w:val="24"/>
        </w:rPr>
        <w:t>increase</w:t>
      </w:r>
      <w:r>
        <w:rPr>
          <w:spacing w:val="-4"/>
          <w:sz w:val="24"/>
        </w:rPr>
        <w:t xml:space="preserve"> </w:t>
      </w:r>
      <w:r>
        <w:rPr>
          <w:sz w:val="24"/>
        </w:rPr>
        <w:t>to</w:t>
      </w:r>
      <w:r>
        <w:rPr>
          <w:spacing w:val="-8"/>
          <w:sz w:val="24"/>
        </w:rPr>
        <w:t xml:space="preserve"> </w:t>
      </w:r>
      <w:r>
        <w:rPr>
          <w:sz w:val="24"/>
        </w:rPr>
        <w:t>provide</w:t>
      </w:r>
      <w:r>
        <w:rPr>
          <w:spacing w:val="-2"/>
          <w:sz w:val="24"/>
        </w:rPr>
        <w:t xml:space="preserve"> </w:t>
      </w:r>
      <w:r>
        <w:rPr>
          <w:sz w:val="24"/>
        </w:rPr>
        <w:t>additional</w:t>
      </w:r>
      <w:r>
        <w:rPr>
          <w:spacing w:val="-5"/>
          <w:sz w:val="24"/>
        </w:rPr>
        <w:t xml:space="preserve"> </w:t>
      </w:r>
      <w:r>
        <w:rPr>
          <w:sz w:val="24"/>
        </w:rPr>
        <w:t>funding</w:t>
      </w:r>
      <w:r>
        <w:rPr>
          <w:spacing w:val="-4"/>
          <w:sz w:val="24"/>
        </w:rPr>
        <w:t xml:space="preserve"> </w:t>
      </w:r>
      <w:r>
        <w:rPr>
          <w:sz w:val="24"/>
        </w:rPr>
        <w:t>for</w:t>
      </w:r>
      <w:r>
        <w:rPr>
          <w:spacing w:val="-6"/>
          <w:sz w:val="24"/>
        </w:rPr>
        <w:t xml:space="preserve"> </w:t>
      </w:r>
      <w:r>
        <w:rPr>
          <w:sz w:val="24"/>
        </w:rPr>
        <w:t>mandated</w:t>
      </w:r>
      <w:r>
        <w:rPr>
          <w:spacing w:val="-4"/>
          <w:sz w:val="24"/>
        </w:rPr>
        <w:t xml:space="preserve"> </w:t>
      </w:r>
      <w:r>
        <w:rPr>
          <w:sz w:val="24"/>
        </w:rPr>
        <w:t>counsel,</w:t>
      </w:r>
      <w:r>
        <w:rPr>
          <w:spacing w:val="-5"/>
          <w:sz w:val="24"/>
        </w:rPr>
        <w:t xml:space="preserve"> </w:t>
      </w:r>
      <w:r>
        <w:rPr>
          <w:sz w:val="24"/>
        </w:rPr>
        <w:t>for</w:t>
      </w:r>
      <w:r>
        <w:rPr>
          <w:spacing w:val="-6"/>
          <w:sz w:val="24"/>
        </w:rPr>
        <w:t xml:space="preserve"> </w:t>
      </w:r>
      <w:r>
        <w:rPr>
          <w:sz w:val="24"/>
        </w:rPr>
        <w:t>investigators,</w:t>
      </w:r>
      <w:r>
        <w:rPr>
          <w:spacing w:val="-5"/>
          <w:sz w:val="24"/>
        </w:rPr>
        <w:t xml:space="preserve"> </w:t>
      </w:r>
      <w:r>
        <w:rPr>
          <w:sz w:val="24"/>
        </w:rPr>
        <w:t xml:space="preserve">and for </w:t>
      </w:r>
      <w:r w:rsidR="00CE31AA">
        <w:rPr>
          <w:sz w:val="24"/>
        </w:rPr>
        <w:t>self-help</w:t>
      </w:r>
      <w:r>
        <w:rPr>
          <w:sz w:val="24"/>
        </w:rPr>
        <w:t xml:space="preserve"> assistance in minor</w:t>
      </w:r>
      <w:r>
        <w:rPr>
          <w:spacing w:val="-3"/>
          <w:sz w:val="24"/>
        </w:rPr>
        <w:t xml:space="preserve"> </w:t>
      </w:r>
      <w:r>
        <w:rPr>
          <w:sz w:val="24"/>
        </w:rPr>
        <w:t>guardianship.</w:t>
      </w:r>
    </w:p>
    <w:p w14:paraId="2E65905B" w14:textId="77777777" w:rsidR="00EA5970" w:rsidRDefault="00EA5970" w:rsidP="00EA5970">
      <w:pPr>
        <w:pStyle w:val="BodyText"/>
        <w:spacing w:before="1"/>
      </w:pPr>
    </w:p>
    <w:p w14:paraId="095FD020" w14:textId="77777777" w:rsidR="00EA5970" w:rsidRDefault="00EA5970" w:rsidP="00EA5970">
      <w:pPr>
        <w:pStyle w:val="BodyText"/>
        <w:ind w:left="440" w:right="634"/>
        <w:jc w:val="both"/>
      </w:pPr>
      <w:r>
        <w:rPr>
          <w:b/>
        </w:rPr>
        <w:t xml:space="preserve">Senate Bill 121 </w:t>
      </w:r>
      <w:r>
        <w:t>– Senate Bill 121 provides for a Power of Attorney for Dementia. This is meant to address the unnecessary use of Guardianship where a person with a diagnosis of Dementia is denied services because of their diagnosis but without an actual judicial determination of incapacity. Put another way, where a person maybe failed to make their plans known prior to diagnosis, they are afforded a window of opportunity to have assistance in their healthcare decisions from their designated agent.</w:t>
      </w:r>
    </w:p>
    <w:p w14:paraId="3BBFFFAB" w14:textId="77777777" w:rsidR="00EA5970" w:rsidRDefault="00EA5970" w:rsidP="00EA5970">
      <w:pPr>
        <w:pStyle w:val="BodyText"/>
        <w:spacing w:before="10"/>
        <w:rPr>
          <w:sz w:val="23"/>
        </w:rPr>
      </w:pPr>
    </w:p>
    <w:p w14:paraId="4FC004C2" w14:textId="77777777" w:rsidR="00EA5970" w:rsidRDefault="00EA5970" w:rsidP="00EA5970">
      <w:pPr>
        <w:pStyle w:val="BodyText"/>
        <w:ind w:left="440" w:right="633"/>
        <w:jc w:val="both"/>
      </w:pPr>
      <w:r>
        <w:t xml:space="preserve">The bill also provides an explicit affirmation of the role the principal in any power of attorney arrangement continues to play. This means that where an agent is attempting to </w:t>
      </w:r>
      <w:proofErr w:type="gramStart"/>
      <w:r>
        <w:t>take action</w:t>
      </w:r>
      <w:proofErr w:type="gramEnd"/>
      <w:r>
        <w:t xml:space="preserve"> over the objection</w:t>
      </w:r>
      <w:r>
        <w:rPr>
          <w:spacing w:val="-10"/>
        </w:rPr>
        <w:t xml:space="preserve"> </w:t>
      </w:r>
      <w:r>
        <w:t>of</w:t>
      </w:r>
      <w:r>
        <w:rPr>
          <w:spacing w:val="-11"/>
        </w:rPr>
        <w:t xml:space="preserve"> </w:t>
      </w:r>
      <w:r>
        <w:t>the</w:t>
      </w:r>
      <w:r>
        <w:rPr>
          <w:spacing w:val="-9"/>
        </w:rPr>
        <w:t xml:space="preserve"> </w:t>
      </w:r>
      <w:r>
        <w:t>principal,</w:t>
      </w:r>
      <w:r>
        <w:rPr>
          <w:spacing w:val="-12"/>
        </w:rPr>
        <w:t xml:space="preserve"> </w:t>
      </w:r>
      <w:r>
        <w:t>the</w:t>
      </w:r>
      <w:r>
        <w:rPr>
          <w:spacing w:val="-9"/>
        </w:rPr>
        <w:t xml:space="preserve"> </w:t>
      </w:r>
      <w:r>
        <w:t>burden</w:t>
      </w:r>
      <w:r>
        <w:rPr>
          <w:spacing w:val="-10"/>
        </w:rPr>
        <w:t xml:space="preserve"> </w:t>
      </w:r>
      <w:r>
        <w:t>is</w:t>
      </w:r>
      <w:r>
        <w:rPr>
          <w:spacing w:val="-11"/>
        </w:rPr>
        <w:t xml:space="preserve"> </w:t>
      </w:r>
      <w:r>
        <w:t>on</w:t>
      </w:r>
      <w:r>
        <w:rPr>
          <w:spacing w:val="-11"/>
        </w:rPr>
        <w:t xml:space="preserve"> </w:t>
      </w:r>
      <w:r>
        <w:t>the</w:t>
      </w:r>
      <w:r>
        <w:rPr>
          <w:spacing w:val="-9"/>
        </w:rPr>
        <w:t xml:space="preserve"> </w:t>
      </w:r>
      <w:r>
        <w:t>agent</w:t>
      </w:r>
      <w:r>
        <w:rPr>
          <w:spacing w:val="-10"/>
        </w:rPr>
        <w:t xml:space="preserve"> </w:t>
      </w:r>
      <w:r>
        <w:t>to</w:t>
      </w:r>
      <w:r>
        <w:rPr>
          <w:spacing w:val="-10"/>
        </w:rPr>
        <w:t xml:space="preserve"> </w:t>
      </w:r>
      <w:r>
        <w:t>argue</w:t>
      </w:r>
      <w:r>
        <w:rPr>
          <w:spacing w:val="-9"/>
        </w:rPr>
        <w:t xml:space="preserve"> </w:t>
      </w:r>
      <w:r>
        <w:t>the</w:t>
      </w:r>
      <w:r>
        <w:rPr>
          <w:spacing w:val="-9"/>
        </w:rPr>
        <w:t xml:space="preserve"> </w:t>
      </w:r>
      <w:r>
        <w:t>appropriateness</w:t>
      </w:r>
      <w:r>
        <w:rPr>
          <w:spacing w:val="-12"/>
        </w:rPr>
        <w:t xml:space="preserve"> </w:t>
      </w:r>
      <w:r>
        <w:t>of</w:t>
      </w:r>
      <w:r>
        <w:rPr>
          <w:spacing w:val="-8"/>
        </w:rPr>
        <w:t xml:space="preserve"> </w:t>
      </w:r>
      <w:r>
        <w:t>their</w:t>
      </w:r>
      <w:r>
        <w:rPr>
          <w:spacing w:val="-10"/>
        </w:rPr>
        <w:t xml:space="preserve"> </w:t>
      </w:r>
      <w:r>
        <w:t>actions,</w:t>
      </w:r>
      <w:r>
        <w:rPr>
          <w:spacing w:val="-9"/>
        </w:rPr>
        <w:t xml:space="preserve"> </w:t>
      </w:r>
      <w:r>
        <w:t>not on the principal to initiate action to fight the agent’s</w:t>
      </w:r>
      <w:r>
        <w:rPr>
          <w:spacing w:val="-11"/>
        </w:rPr>
        <w:t xml:space="preserve"> </w:t>
      </w:r>
      <w:r>
        <w:t>conduct.</w:t>
      </w:r>
    </w:p>
    <w:p w14:paraId="148364D0" w14:textId="77777777" w:rsidR="00EA5970" w:rsidRDefault="00EA5970" w:rsidP="00EA5970">
      <w:pPr>
        <w:pStyle w:val="BodyText"/>
        <w:spacing w:before="2"/>
      </w:pPr>
    </w:p>
    <w:p w14:paraId="0FBF4D57" w14:textId="77777777" w:rsidR="00EA5970" w:rsidRDefault="00EA5970" w:rsidP="00EA5970">
      <w:pPr>
        <w:pStyle w:val="BodyText"/>
        <w:ind w:left="440" w:right="637"/>
        <w:jc w:val="both"/>
      </w:pPr>
      <w:r>
        <w:t xml:space="preserve">Finally, Senate Bill 121 provides, in counties of under 100,000 residents (all counties except Washoe and Clark), certain information </w:t>
      </w:r>
      <w:r>
        <w:rPr>
          <w:i/>
        </w:rPr>
        <w:t xml:space="preserve">can </w:t>
      </w:r>
      <w:r>
        <w:t>be provided to Public Guardians prior to the appointment of a guardian if that information originates from the court, law enforcement, or the Aging and Disability Services Division. This is meant to encourage collaboration regarding referrals of cases to public guardians for possible filing.</w:t>
      </w:r>
    </w:p>
    <w:p w14:paraId="3906CAE9" w14:textId="77777777" w:rsidR="00EA5970" w:rsidRDefault="00EA5970" w:rsidP="00EA5970">
      <w:pPr>
        <w:pStyle w:val="BodyText"/>
      </w:pPr>
    </w:p>
    <w:p w14:paraId="54A33159" w14:textId="77777777" w:rsidR="00EA5970" w:rsidRDefault="00EA5970" w:rsidP="00EA5970">
      <w:pPr>
        <w:pStyle w:val="BodyText"/>
        <w:ind w:left="440" w:right="634"/>
        <w:jc w:val="both"/>
      </w:pPr>
      <w:r>
        <w:rPr>
          <w:b/>
        </w:rPr>
        <w:t xml:space="preserve">Senate Bill 223 </w:t>
      </w:r>
      <w:r>
        <w:t xml:space="preserve">– Senate Bill 223 amended provisions relating to powers of attorney and touches upon </w:t>
      </w:r>
      <w:r>
        <w:lastRenderedPageBreak/>
        <w:t>transfers and discharges and notifications related thereto. Notification of the State Long Term Care Ombudsman and the patient is included. It was amended in part by Senate Bill 540.</w:t>
      </w:r>
    </w:p>
    <w:p w14:paraId="55BD4A61" w14:textId="77777777" w:rsidR="00EA5970" w:rsidRDefault="00EA5970" w:rsidP="00EA5970">
      <w:pPr>
        <w:pStyle w:val="BodyText"/>
        <w:spacing w:before="1"/>
        <w:rPr>
          <w:sz w:val="15"/>
        </w:rPr>
      </w:pPr>
    </w:p>
    <w:p w14:paraId="59DB496C" w14:textId="77777777" w:rsidR="00EA5970" w:rsidRDefault="00EA5970" w:rsidP="00EA5970">
      <w:pPr>
        <w:pStyle w:val="BodyText"/>
        <w:spacing w:before="100"/>
        <w:ind w:left="440" w:right="633"/>
        <w:jc w:val="both"/>
      </w:pPr>
      <w:r>
        <w:rPr>
          <w:b/>
        </w:rPr>
        <w:t>Senate</w:t>
      </w:r>
      <w:r>
        <w:rPr>
          <w:b/>
          <w:spacing w:val="-2"/>
        </w:rPr>
        <w:t xml:space="preserve"> </w:t>
      </w:r>
      <w:r>
        <w:rPr>
          <w:b/>
        </w:rPr>
        <w:t>Bill</w:t>
      </w:r>
      <w:r>
        <w:rPr>
          <w:b/>
          <w:spacing w:val="-3"/>
        </w:rPr>
        <w:t xml:space="preserve"> </w:t>
      </w:r>
      <w:r>
        <w:rPr>
          <w:b/>
        </w:rPr>
        <w:t>312</w:t>
      </w:r>
      <w:r>
        <w:rPr>
          <w:b/>
          <w:spacing w:val="-1"/>
        </w:rPr>
        <w:t xml:space="preserve"> </w:t>
      </w:r>
      <w:r>
        <w:t>–</w:t>
      </w:r>
      <w:r>
        <w:rPr>
          <w:spacing w:val="-2"/>
        </w:rPr>
        <w:t xml:space="preserve"> </w:t>
      </w:r>
      <w:r>
        <w:t>Senate</w:t>
      </w:r>
      <w:r>
        <w:rPr>
          <w:spacing w:val="-6"/>
        </w:rPr>
        <w:t xml:space="preserve"> </w:t>
      </w:r>
      <w:r>
        <w:t>Bill</w:t>
      </w:r>
      <w:r>
        <w:rPr>
          <w:spacing w:val="-2"/>
        </w:rPr>
        <w:t xml:space="preserve"> </w:t>
      </w:r>
      <w:r>
        <w:t>312</w:t>
      </w:r>
      <w:r>
        <w:rPr>
          <w:spacing w:val="-2"/>
        </w:rPr>
        <w:t xml:space="preserve"> </w:t>
      </w:r>
      <w:r>
        <w:t>could</w:t>
      </w:r>
      <w:r>
        <w:rPr>
          <w:spacing w:val="-3"/>
        </w:rPr>
        <w:t xml:space="preserve"> </w:t>
      </w:r>
      <w:r>
        <w:t>represent</w:t>
      </w:r>
      <w:r>
        <w:rPr>
          <w:spacing w:val="-1"/>
        </w:rPr>
        <w:t xml:space="preserve"> </w:t>
      </w:r>
      <w:r>
        <w:t>a</w:t>
      </w:r>
      <w:r>
        <w:rPr>
          <w:spacing w:val="-6"/>
        </w:rPr>
        <w:t xml:space="preserve"> </w:t>
      </w:r>
      <w:r>
        <w:t>benefit</w:t>
      </w:r>
      <w:r>
        <w:rPr>
          <w:spacing w:val="-3"/>
        </w:rPr>
        <w:t xml:space="preserve"> </w:t>
      </w:r>
      <w:r>
        <w:t>to</w:t>
      </w:r>
      <w:r>
        <w:rPr>
          <w:spacing w:val="-2"/>
        </w:rPr>
        <w:t xml:space="preserve"> </w:t>
      </w:r>
      <w:r>
        <w:t>caregivers</w:t>
      </w:r>
      <w:r>
        <w:rPr>
          <w:spacing w:val="-4"/>
        </w:rPr>
        <w:t xml:space="preserve"> </w:t>
      </w:r>
      <w:r>
        <w:t>of</w:t>
      </w:r>
      <w:r>
        <w:rPr>
          <w:spacing w:val="-3"/>
        </w:rPr>
        <w:t xml:space="preserve"> </w:t>
      </w:r>
      <w:r>
        <w:t>those</w:t>
      </w:r>
      <w:r>
        <w:rPr>
          <w:spacing w:val="-2"/>
        </w:rPr>
        <w:t xml:space="preserve"> </w:t>
      </w:r>
      <w:r>
        <w:t>with</w:t>
      </w:r>
      <w:r>
        <w:rPr>
          <w:spacing w:val="-2"/>
        </w:rPr>
        <w:t xml:space="preserve"> </w:t>
      </w:r>
      <w:r>
        <w:t>Dementia</w:t>
      </w:r>
      <w:r>
        <w:rPr>
          <w:spacing w:val="2"/>
        </w:rPr>
        <w:t xml:space="preserve"> </w:t>
      </w:r>
      <w:r>
        <w:t>as</w:t>
      </w:r>
      <w:r>
        <w:rPr>
          <w:spacing w:val="-4"/>
        </w:rPr>
        <w:t xml:space="preserve"> </w:t>
      </w:r>
      <w:r>
        <w:t>it creates</w:t>
      </w:r>
      <w:r>
        <w:rPr>
          <w:spacing w:val="-15"/>
        </w:rPr>
        <w:t xml:space="preserve"> </w:t>
      </w:r>
      <w:r>
        <w:t>a</w:t>
      </w:r>
      <w:r>
        <w:rPr>
          <w:spacing w:val="-13"/>
        </w:rPr>
        <w:t xml:space="preserve"> </w:t>
      </w:r>
      <w:r>
        <w:t>requirement</w:t>
      </w:r>
      <w:r>
        <w:rPr>
          <w:spacing w:val="-15"/>
        </w:rPr>
        <w:t xml:space="preserve"> </w:t>
      </w:r>
      <w:r>
        <w:t>for</w:t>
      </w:r>
      <w:r>
        <w:rPr>
          <w:spacing w:val="-10"/>
        </w:rPr>
        <w:t xml:space="preserve"> </w:t>
      </w:r>
      <w:r>
        <w:t>paid</w:t>
      </w:r>
      <w:r>
        <w:rPr>
          <w:spacing w:val="-13"/>
        </w:rPr>
        <w:t xml:space="preserve"> </w:t>
      </w:r>
      <w:r>
        <w:t>leave</w:t>
      </w:r>
      <w:r>
        <w:rPr>
          <w:spacing w:val="-10"/>
        </w:rPr>
        <w:t xml:space="preserve"> </w:t>
      </w:r>
      <w:r>
        <w:t>to</w:t>
      </w:r>
      <w:r>
        <w:rPr>
          <w:spacing w:val="-14"/>
        </w:rPr>
        <w:t xml:space="preserve"> </w:t>
      </w:r>
      <w:r>
        <w:t>be</w:t>
      </w:r>
      <w:r>
        <w:rPr>
          <w:spacing w:val="-14"/>
        </w:rPr>
        <w:t xml:space="preserve"> </w:t>
      </w:r>
      <w:r>
        <w:t>provided</w:t>
      </w:r>
      <w:r>
        <w:rPr>
          <w:spacing w:val="-11"/>
        </w:rPr>
        <w:t xml:space="preserve"> </w:t>
      </w:r>
      <w:r>
        <w:t>by</w:t>
      </w:r>
      <w:r>
        <w:rPr>
          <w:spacing w:val="-13"/>
        </w:rPr>
        <w:t xml:space="preserve"> </w:t>
      </w:r>
      <w:r>
        <w:t>employers</w:t>
      </w:r>
      <w:r>
        <w:rPr>
          <w:spacing w:val="-15"/>
        </w:rPr>
        <w:t xml:space="preserve"> </w:t>
      </w:r>
      <w:r>
        <w:t>with</w:t>
      </w:r>
      <w:r>
        <w:rPr>
          <w:spacing w:val="-14"/>
        </w:rPr>
        <w:t xml:space="preserve"> </w:t>
      </w:r>
      <w:r>
        <w:t>over</w:t>
      </w:r>
      <w:r>
        <w:rPr>
          <w:spacing w:val="-15"/>
        </w:rPr>
        <w:t xml:space="preserve"> </w:t>
      </w:r>
      <w:r>
        <w:t>50</w:t>
      </w:r>
      <w:r>
        <w:rPr>
          <w:spacing w:val="-11"/>
        </w:rPr>
        <w:t xml:space="preserve"> </w:t>
      </w:r>
      <w:r>
        <w:t>employees.</w:t>
      </w:r>
      <w:r>
        <w:rPr>
          <w:spacing w:val="21"/>
        </w:rPr>
        <w:t xml:space="preserve"> </w:t>
      </w:r>
      <w:r>
        <w:t>Employees are not required to provide a reason for the use of their</w:t>
      </w:r>
      <w:r>
        <w:rPr>
          <w:spacing w:val="-12"/>
        </w:rPr>
        <w:t xml:space="preserve"> </w:t>
      </w:r>
      <w:r>
        <w:t>leave.</w:t>
      </w:r>
    </w:p>
    <w:p w14:paraId="4C9C9A70" w14:textId="77777777" w:rsidR="00EA5970" w:rsidRDefault="00EA5970" w:rsidP="00EA5970">
      <w:pPr>
        <w:pStyle w:val="BodyText"/>
      </w:pPr>
    </w:p>
    <w:p w14:paraId="2EDD8B3D" w14:textId="77777777" w:rsidR="00EA5970" w:rsidRDefault="00EA5970" w:rsidP="00EA5970">
      <w:pPr>
        <w:pStyle w:val="BodyText"/>
        <w:ind w:left="440" w:right="633"/>
        <w:jc w:val="both"/>
      </w:pPr>
      <w:r>
        <w:rPr>
          <w:b/>
        </w:rPr>
        <w:t xml:space="preserve">Senate Bill 362 </w:t>
      </w:r>
      <w:r>
        <w:t>– Senate Bill 362 requires certain assessments related to the condition and daily activities</w:t>
      </w:r>
      <w:r>
        <w:rPr>
          <w:spacing w:val="-11"/>
        </w:rPr>
        <w:t xml:space="preserve"> </w:t>
      </w:r>
      <w:r>
        <w:t>of</w:t>
      </w:r>
      <w:r>
        <w:rPr>
          <w:spacing w:val="-11"/>
        </w:rPr>
        <w:t xml:space="preserve"> </w:t>
      </w:r>
      <w:r>
        <w:t>residents</w:t>
      </w:r>
      <w:r>
        <w:rPr>
          <w:spacing w:val="-11"/>
        </w:rPr>
        <w:t xml:space="preserve"> </w:t>
      </w:r>
      <w:r>
        <w:t>be</w:t>
      </w:r>
      <w:r>
        <w:rPr>
          <w:spacing w:val="-12"/>
        </w:rPr>
        <w:t xml:space="preserve"> </w:t>
      </w:r>
      <w:r>
        <w:t>undertaken</w:t>
      </w:r>
      <w:r>
        <w:rPr>
          <w:spacing w:val="-9"/>
        </w:rPr>
        <w:t xml:space="preserve"> </w:t>
      </w:r>
      <w:r>
        <w:t>at</w:t>
      </w:r>
      <w:r>
        <w:rPr>
          <w:spacing w:val="-12"/>
        </w:rPr>
        <w:t xml:space="preserve"> </w:t>
      </w:r>
      <w:r>
        <w:t>various</w:t>
      </w:r>
      <w:r>
        <w:rPr>
          <w:spacing w:val="-11"/>
        </w:rPr>
        <w:t xml:space="preserve"> </w:t>
      </w:r>
      <w:r>
        <w:t>points</w:t>
      </w:r>
      <w:r>
        <w:rPr>
          <w:spacing w:val="-12"/>
        </w:rPr>
        <w:t xml:space="preserve"> </w:t>
      </w:r>
      <w:r>
        <w:t>in</w:t>
      </w:r>
      <w:r>
        <w:rPr>
          <w:spacing w:val="-9"/>
        </w:rPr>
        <w:t xml:space="preserve"> </w:t>
      </w:r>
      <w:r>
        <w:t>time,</w:t>
      </w:r>
      <w:r>
        <w:rPr>
          <w:spacing w:val="-9"/>
        </w:rPr>
        <w:t xml:space="preserve"> </w:t>
      </w:r>
      <w:r>
        <w:t>including</w:t>
      </w:r>
      <w:r>
        <w:rPr>
          <w:spacing w:val="-10"/>
        </w:rPr>
        <w:t xml:space="preserve"> </w:t>
      </w:r>
      <w:r>
        <w:t>upon</w:t>
      </w:r>
      <w:r>
        <w:rPr>
          <w:spacing w:val="-12"/>
        </w:rPr>
        <w:t xml:space="preserve"> </w:t>
      </w:r>
      <w:r>
        <w:t>admission,</w:t>
      </w:r>
      <w:r>
        <w:rPr>
          <w:spacing w:val="-9"/>
        </w:rPr>
        <w:t xml:space="preserve"> </w:t>
      </w:r>
      <w:r>
        <w:t>annually,</w:t>
      </w:r>
      <w:r>
        <w:rPr>
          <w:spacing w:val="-12"/>
        </w:rPr>
        <w:t xml:space="preserve"> </w:t>
      </w:r>
      <w:r>
        <w:t>and upon</w:t>
      </w:r>
      <w:r>
        <w:rPr>
          <w:spacing w:val="-15"/>
        </w:rPr>
        <w:t xml:space="preserve"> </w:t>
      </w:r>
      <w:r>
        <w:t>observed</w:t>
      </w:r>
      <w:r>
        <w:rPr>
          <w:spacing w:val="-14"/>
        </w:rPr>
        <w:t xml:space="preserve"> </w:t>
      </w:r>
      <w:r>
        <w:t>changes</w:t>
      </w:r>
      <w:r>
        <w:rPr>
          <w:spacing w:val="-16"/>
        </w:rPr>
        <w:t xml:space="preserve"> </w:t>
      </w:r>
      <w:r>
        <w:t>in</w:t>
      </w:r>
      <w:r>
        <w:rPr>
          <w:spacing w:val="-17"/>
        </w:rPr>
        <w:t xml:space="preserve"> </w:t>
      </w:r>
      <w:r>
        <w:t>condition.</w:t>
      </w:r>
      <w:r>
        <w:rPr>
          <w:spacing w:val="32"/>
        </w:rPr>
        <w:t xml:space="preserve"> </w:t>
      </w:r>
      <w:r>
        <w:t>Placement</w:t>
      </w:r>
      <w:r>
        <w:rPr>
          <w:spacing w:val="-15"/>
        </w:rPr>
        <w:t xml:space="preserve"> </w:t>
      </w:r>
      <w:r>
        <w:t>in</w:t>
      </w:r>
      <w:r>
        <w:rPr>
          <w:spacing w:val="-14"/>
        </w:rPr>
        <w:t xml:space="preserve"> </w:t>
      </w:r>
      <w:r>
        <w:t>a</w:t>
      </w:r>
      <w:r>
        <w:rPr>
          <w:spacing w:val="-18"/>
        </w:rPr>
        <w:t xml:space="preserve"> </w:t>
      </w:r>
      <w:r>
        <w:t>residential</w:t>
      </w:r>
      <w:r>
        <w:rPr>
          <w:spacing w:val="-14"/>
        </w:rPr>
        <w:t xml:space="preserve"> </w:t>
      </w:r>
      <w:r>
        <w:t>facility</w:t>
      </w:r>
      <w:r>
        <w:rPr>
          <w:spacing w:val="-16"/>
        </w:rPr>
        <w:t xml:space="preserve"> </w:t>
      </w:r>
      <w:r>
        <w:t>for</w:t>
      </w:r>
      <w:r>
        <w:rPr>
          <w:spacing w:val="-16"/>
        </w:rPr>
        <w:t xml:space="preserve"> </w:t>
      </w:r>
      <w:r>
        <w:t>groups</w:t>
      </w:r>
      <w:r>
        <w:rPr>
          <w:spacing w:val="-14"/>
        </w:rPr>
        <w:t xml:space="preserve"> </w:t>
      </w:r>
      <w:r>
        <w:t>remains</w:t>
      </w:r>
      <w:r>
        <w:rPr>
          <w:spacing w:val="-16"/>
        </w:rPr>
        <w:t xml:space="preserve"> </w:t>
      </w:r>
      <w:r>
        <w:t>appropriate upon certain determinations relating to dementia while other determinations may result in the requirement</w:t>
      </w:r>
      <w:r>
        <w:rPr>
          <w:spacing w:val="-10"/>
        </w:rPr>
        <w:t xml:space="preserve"> </w:t>
      </w:r>
      <w:r>
        <w:t>that</w:t>
      </w:r>
      <w:r>
        <w:rPr>
          <w:spacing w:val="-9"/>
        </w:rPr>
        <w:t xml:space="preserve"> </w:t>
      </w:r>
      <w:r>
        <w:t>placement</w:t>
      </w:r>
      <w:r>
        <w:rPr>
          <w:spacing w:val="-9"/>
        </w:rPr>
        <w:t xml:space="preserve"> </w:t>
      </w:r>
      <w:r>
        <w:t>be</w:t>
      </w:r>
      <w:r>
        <w:rPr>
          <w:spacing w:val="-8"/>
        </w:rPr>
        <w:t xml:space="preserve"> </w:t>
      </w:r>
      <w:r>
        <w:t>at</w:t>
      </w:r>
      <w:r>
        <w:rPr>
          <w:spacing w:val="-10"/>
        </w:rPr>
        <w:t xml:space="preserve"> </w:t>
      </w:r>
      <w:r>
        <w:t>such</w:t>
      </w:r>
      <w:r>
        <w:rPr>
          <w:spacing w:val="-8"/>
        </w:rPr>
        <w:t xml:space="preserve"> </w:t>
      </w:r>
      <w:r>
        <w:t>a</w:t>
      </w:r>
      <w:r>
        <w:rPr>
          <w:spacing w:val="-9"/>
        </w:rPr>
        <w:t xml:space="preserve"> </w:t>
      </w:r>
      <w:r>
        <w:t>location</w:t>
      </w:r>
      <w:r>
        <w:rPr>
          <w:spacing w:val="-10"/>
        </w:rPr>
        <w:t xml:space="preserve"> </w:t>
      </w:r>
      <w:r>
        <w:t>that</w:t>
      </w:r>
      <w:r>
        <w:rPr>
          <w:spacing w:val="-10"/>
        </w:rPr>
        <w:t xml:space="preserve"> </w:t>
      </w:r>
      <w:r>
        <w:t>is</w:t>
      </w:r>
      <w:r>
        <w:rPr>
          <w:spacing w:val="-11"/>
        </w:rPr>
        <w:t xml:space="preserve"> </w:t>
      </w:r>
      <w:r>
        <w:t>certified</w:t>
      </w:r>
      <w:r>
        <w:rPr>
          <w:spacing w:val="-8"/>
        </w:rPr>
        <w:t xml:space="preserve"> </w:t>
      </w:r>
      <w:r>
        <w:t>to</w:t>
      </w:r>
      <w:r>
        <w:rPr>
          <w:spacing w:val="-10"/>
        </w:rPr>
        <w:t xml:space="preserve"> </w:t>
      </w:r>
      <w:r>
        <w:t>care</w:t>
      </w:r>
      <w:r>
        <w:rPr>
          <w:spacing w:val="-12"/>
        </w:rPr>
        <w:t xml:space="preserve"> </w:t>
      </w:r>
      <w:r>
        <w:t>for</w:t>
      </w:r>
      <w:r>
        <w:rPr>
          <w:spacing w:val="-10"/>
        </w:rPr>
        <w:t xml:space="preserve"> </w:t>
      </w:r>
      <w:r>
        <w:t>that</w:t>
      </w:r>
      <w:r>
        <w:rPr>
          <w:spacing w:val="-9"/>
        </w:rPr>
        <w:t xml:space="preserve"> </w:t>
      </w:r>
      <w:r>
        <w:t>individual</w:t>
      </w:r>
      <w:r>
        <w:rPr>
          <w:spacing w:val="-8"/>
        </w:rPr>
        <w:t xml:space="preserve"> </w:t>
      </w:r>
      <w:r>
        <w:t>under</w:t>
      </w:r>
      <w:r>
        <w:rPr>
          <w:spacing w:val="-8"/>
        </w:rPr>
        <w:t xml:space="preserve"> </w:t>
      </w:r>
      <w:r>
        <w:t>NRS 449.0302(2).</w:t>
      </w:r>
    </w:p>
    <w:p w14:paraId="043360C1" w14:textId="77777777" w:rsidR="00EA5970" w:rsidRDefault="00EA5970" w:rsidP="00EA5970">
      <w:pPr>
        <w:pStyle w:val="BodyText"/>
        <w:spacing w:before="1"/>
      </w:pPr>
    </w:p>
    <w:p w14:paraId="42138B6E" w14:textId="77777777" w:rsidR="00EA5970" w:rsidRDefault="00EA5970" w:rsidP="00EA5970">
      <w:pPr>
        <w:spacing w:before="1"/>
        <w:ind w:left="440" w:right="632"/>
        <w:jc w:val="both"/>
        <w:rPr>
          <w:i/>
        </w:rPr>
      </w:pPr>
      <w:r>
        <w:rPr>
          <w:b/>
        </w:rPr>
        <w:t xml:space="preserve">Senate Bill 540 </w:t>
      </w:r>
      <w:r>
        <w:t xml:space="preserve">– Senate Bill 540 was an agency budget bill draft from the Aging and Disability Services Division aimed at addressing a gap in protective services provision for those 18-59 who are vulnerable under NRS 200. This means an individual with early onset Dementia under the age of 60 can, as of July 1, 2019, avail themselves of protective services previously reserved for those 60 and older. The bill contemplates collaboration between law enforcement and protective services as well as adjusting some confidentiality provisions to reflect the involvement of protected person’s counsel in guardianship. </w:t>
      </w:r>
      <w:r>
        <w:rPr>
          <w:i/>
        </w:rPr>
        <w:t>Note: Contact information for Adult Protective Services remains the same as the prior Elder Protective Services. See adsd.nv.gov for more</w:t>
      </w:r>
      <w:r>
        <w:rPr>
          <w:i/>
          <w:spacing w:val="-8"/>
        </w:rPr>
        <w:t xml:space="preserve"> </w:t>
      </w:r>
      <w:r>
        <w:rPr>
          <w:i/>
        </w:rPr>
        <w:t>information.</w:t>
      </w:r>
    </w:p>
    <w:p w14:paraId="02D8C119" w14:textId="77777777" w:rsidR="00EA5970" w:rsidRDefault="00EA5970" w:rsidP="00EA5970">
      <w:pPr>
        <w:pStyle w:val="BodyText"/>
        <w:spacing w:before="10"/>
        <w:rPr>
          <w:i/>
          <w:sz w:val="23"/>
        </w:rPr>
      </w:pPr>
    </w:p>
    <w:p w14:paraId="50749028" w14:textId="77777777" w:rsidR="00EA5970" w:rsidRDefault="00EA5970" w:rsidP="00EA5970">
      <w:pPr>
        <w:pStyle w:val="BodyText"/>
        <w:ind w:left="440" w:right="633"/>
        <w:jc w:val="both"/>
      </w:pPr>
      <w:r>
        <w:t>The</w:t>
      </w:r>
      <w:r>
        <w:rPr>
          <w:spacing w:val="-15"/>
        </w:rPr>
        <w:t xml:space="preserve"> </w:t>
      </w:r>
      <w:r>
        <w:t>bill</w:t>
      </w:r>
      <w:r>
        <w:rPr>
          <w:spacing w:val="-15"/>
        </w:rPr>
        <w:t xml:space="preserve"> </w:t>
      </w:r>
      <w:r>
        <w:t>also</w:t>
      </w:r>
      <w:r>
        <w:rPr>
          <w:spacing w:val="-15"/>
        </w:rPr>
        <w:t xml:space="preserve"> </w:t>
      </w:r>
      <w:r>
        <w:t>provides</w:t>
      </w:r>
      <w:r>
        <w:rPr>
          <w:spacing w:val="-16"/>
        </w:rPr>
        <w:t xml:space="preserve"> </w:t>
      </w:r>
      <w:r>
        <w:t>for</w:t>
      </w:r>
      <w:r>
        <w:rPr>
          <w:spacing w:val="-18"/>
        </w:rPr>
        <w:t xml:space="preserve"> </w:t>
      </w:r>
      <w:r>
        <w:t>amendments</w:t>
      </w:r>
      <w:r>
        <w:rPr>
          <w:spacing w:val="-17"/>
        </w:rPr>
        <w:t xml:space="preserve"> </w:t>
      </w:r>
      <w:r>
        <w:t>to</w:t>
      </w:r>
      <w:r>
        <w:rPr>
          <w:spacing w:val="-15"/>
        </w:rPr>
        <w:t xml:space="preserve"> </w:t>
      </w:r>
      <w:r>
        <w:t>the</w:t>
      </w:r>
      <w:r>
        <w:rPr>
          <w:spacing w:val="-15"/>
        </w:rPr>
        <w:t xml:space="preserve"> </w:t>
      </w:r>
      <w:r>
        <w:t>power</w:t>
      </w:r>
      <w:r>
        <w:rPr>
          <w:spacing w:val="-18"/>
        </w:rPr>
        <w:t xml:space="preserve"> </w:t>
      </w:r>
      <w:r>
        <w:t>of</w:t>
      </w:r>
      <w:r>
        <w:rPr>
          <w:spacing w:val="-15"/>
        </w:rPr>
        <w:t xml:space="preserve"> </w:t>
      </w:r>
      <w:r>
        <w:t>attorney</w:t>
      </w:r>
      <w:r>
        <w:rPr>
          <w:spacing w:val="-15"/>
        </w:rPr>
        <w:t xml:space="preserve"> </w:t>
      </w:r>
      <w:r>
        <w:t>form</w:t>
      </w:r>
      <w:r>
        <w:rPr>
          <w:spacing w:val="-15"/>
        </w:rPr>
        <w:t xml:space="preserve"> </w:t>
      </w:r>
      <w:r>
        <w:t>related</w:t>
      </w:r>
      <w:r>
        <w:rPr>
          <w:spacing w:val="-18"/>
        </w:rPr>
        <w:t xml:space="preserve"> </w:t>
      </w:r>
      <w:r>
        <w:t>to</w:t>
      </w:r>
      <w:r>
        <w:rPr>
          <w:spacing w:val="-15"/>
        </w:rPr>
        <w:t xml:space="preserve"> </w:t>
      </w:r>
      <w:r>
        <w:t>transfer</w:t>
      </w:r>
      <w:r>
        <w:rPr>
          <w:spacing w:val="-13"/>
        </w:rPr>
        <w:t xml:space="preserve"> </w:t>
      </w:r>
      <w:r>
        <w:t>and</w:t>
      </w:r>
      <w:r>
        <w:rPr>
          <w:spacing w:val="-16"/>
        </w:rPr>
        <w:t xml:space="preserve"> </w:t>
      </w:r>
      <w:r>
        <w:t>placement authority</w:t>
      </w:r>
      <w:r>
        <w:rPr>
          <w:spacing w:val="-6"/>
        </w:rPr>
        <w:t xml:space="preserve"> </w:t>
      </w:r>
      <w:r>
        <w:t>of</w:t>
      </w:r>
      <w:r>
        <w:rPr>
          <w:spacing w:val="-7"/>
        </w:rPr>
        <w:t xml:space="preserve"> </w:t>
      </w:r>
      <w:r>
        <w:t>an</w:t>
      </w:r>
      <w:r>
        <w:rPr>
          <w:spacing w:val="-6"/>
        </w:rPr>
        <w:t xml:space="preserve"> </w:t>
      </w:r>
      <w:r>
        <w:t>agent</w:t>
      </w:r>
      <w:r>
        <w:rPr>
          <w:spacing w:val="-7"/>
        </w:rPr>
        <w:t xml:space="preserve"> </w:t>
      </w:r>
      <w:r>
        <w:t>to</w:t>
      </w:r>
      <w:r>
        <w:rPr>
          <w:spacing w:val="-7"/>
        </w:rPr>
        <w:t xml:space="preserve"> </w:t>
      </w:r>
      <w:r>
        <w:t>phrase</w:t>
      </w:r>
      <w:r>
        <w:rPr>
          <w:spacing w:val="-5"/>
        </w:rPr>
        <w:t xml:space="preserve"> </w:t>
      </w:r>
      <w:r>
        <w:t>such</w:t>
      </w:r>
      <w:r>
        <w:rPr>
          <w:spacing w:val="-5"/>
        </w:rPr>
        <w:t xml:space="preserve"> </w:t>
      </w:r>
      <w:r>
        <w:t>options</w:t>
      </w:r>
      <w:r>
        <w:rPr>
          <w:spacing w:val="-6"/>
        </w:rPr>
        <w:t xml:space="preserve"> </w:t>
      </w:r>
      <w:r>
        <w:t>in</w:t>
      </w:r>
      <w:r>
        <w:rPr>
          <w:spacing w:val="-6"/>
        </w:rPr>
        <w:t xml:space="preserve"> </w:t>
      </w:r>
      <w:r>
        <w:t>a</w:t>
      </w:r>
      <w:r>
        <w:rPr>
          <w:spacing w:val="-6"/>
        </w:rPr>
        <w:t xml:space="preserve"> </w:t>
      </w:r>
      <w:r>
        <w:t>manner</w:t>
      </w:r>
      <w:r>
        <w:rPr>
          <w:spacing w:val="-6"/>
        </w:rPr>
        <w:t xml:space="preserve"> </w:t>
      </w:r>
      <w:r>
        <w:t>which</w:t>
      </w:r>
      <w:r>
        <w:rPr>
          <w:spacing w:val="-6"/>
        </w:rPr>
        <w:t xml:space="preserve"> </w:t>
      </w:r>
      <w:r>
        <w:t>informs</w:t>
      </w:r>
      <w:r>
        <w:rPr>
          <w:spacing w:val="-8"/>
        </w:rPr>
        <w:t xml:space="preserve"> </w:t>
      </w:r>
      <w:r>
        <w:t>an</w:t>
      </w:r>
      <w:r>
        <w:rPr>
          <w:spacing w:val="-6"/>
        </w:rPr>
        <w:t xml:space="preserve"> </w:t>
      </w:r>
      <w:r>
        <w:t>individual</w:t>
      </w:r>
      <w:r>
        <w:rPr>
          <w:spacing w:val="-6"/>
        </w:rPr>
        <w:t xml:space="preserve"> </w:t>
      </w:r>
      <w:r>
        <w:t>that</w:t>
      </w:r>
      <w:r>
        <w:rPr>
          <w:spacing w:val="-6"/>
        </w:rPr>
        <w:t xml:space="preserve"> </w:t>
      </w:r>
      <w:r>
        <w:t>if</w:t>
      </w:r>
      <w:r>
        <w:rPr>
          <w:spacing w:val="-7"/>
        </w:rPr>
        <w:t xml:space="preserve"> </w:t>
      </w:r>
      <w:r>
        <w:t>authority of their agent to make placement decisions is not granted, guardianship may be</w:t>
      </w:r>
      <w:r>
        <w:rPr>
          <w:spacing w:val="-20"/>
        </w:rPr>
        <w:t xml:space="preserve"> </w:t>
      </w:r>
      <w:r>
        <w:t>necessary.</w:t>
      </w:r>
    </w:p>
    <w:p w14:paraId="29714F8D" w14:textId="7B0599FA" w:rsidR="00EA5970" w:rsidRPr="00EA5970" w:rsidRDefault="00EA5970">
      <w:pPr>
        <w:pStyle w:val="Body"/>
        <w:rPr>
          <w:rFonts w:ascii="Times New Roman" w:eastAsia="Times New Roman" w:hAnsi="Times New Roman" w:cs="Times New Roman"/>
          <w:b/>
          <w:bCs/>
          <w:iCs/>
          <w:sz w:val="24"/>
          <w:szCs w:val="24"/>
        </w:rPr>
      </w:pPr>
    </w:p>
    <w:p w14:paraId="20F11025" w14:textId="77777777" w:rsidR="00EA5970" w:rsidRDefault="00EA5970">
      <w:pPr>
        <w:pStyle w:val="Body"/>
        <w:rPr>
          <w:rFonts w:ascii="Times New Roman" w:eastAsia="Times New Roman" w:hAnsi="Times New Roman" w:cs="Times New Roman"/>
          <w:b/>
          <w:bCs/>
          <w:i/>
          <w:iCs/>
          <w:sz w:val="24"/>
          <w:szCs w:val="24"/>
        </w:rPr>
      </w:pPr>
    </w:p>
    <w:p w14:paraId="61BB8C9C" w14:textId="77777777" w:rsidR="00640854" w:rsidRDefault="001F2BCD">
      <w:pPr>
        <w:pStyle w:val="Default"/>
        <w:rPr>
          <w:rFonts w:ascii="Times New Roman" w:eastAsia="Times New Roman" w:hAnsi="Times New Roman" w:cs="Times New Roman"/>
          <w:b/>
          <w:bCs/>
          <w:i/>
          <w:iCs/>
          <w:sz w:val="28"/>
          <w:szCs w:val="28"/>
          <w:u w:val="single"/>
        </w:rPr>
      </w:pPr>
      <w:r>
        <w:rPr>
          <w:rFonts w:ascii="Times New Roman" w:hAnsi="Times New Roman"/>
          <w:b/>
          <w:bCs/>
          <w:i/>
          <w:iCs/>
          <w:sz w:val="28"/>
          <w:szCs w:val="28"/>
          <w:u w:val="single"/>
        </w:rPr>
        <w:t>Duties of TFAD (NRS 439.5085)</w:t>
      </w:r>
    </w:p>
    <w:p w14:paraId="730E2A5D"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The Task Force shall:</w:t>
      </w:r>
    </w:p>
    <w:p w14:paraId="017C2EFF"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(a) Develop a State Plan to address Alzheimer’s Disease;</w:t>
      </w:r>
    </w:p>
    <w:p w14:paraId="14238DD5"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(b) Monitor the progress in carrying out the State Plan;</w:t>
      </w:r>
    </w:p>
    <w:p w14:paraId="3304E9C4"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lastRenderedPageBreak/>
        <w:t>(c) Review and revise the State Plan, as necessary;</w:t>
      </w:r>
    </w:p>
    <w:p w14:paraId="5E88CAD2"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(d) Develop and prioritize the actions necessary to carry out the State Plan;</w:t>
      </w:r>
    </w:p>
    <w:p w14:paraId="40D9CED7"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(e) Research and review any other issues that are relevant to Alzheimer’s disease; and</w:t>
      </w:r>
    </w:p>
    <w:p w14:paraId="7EE0E984" w14:textId="77777777"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rPr>
        <w:t>(f) On or before February 1 of each year, prepare and submit a report to the Governor and to the Director of the Legislative Counsel Bureau for transmittal to the Legislature concerning its findings and recommendations.</w:t>
      </w:r>
    </w:p>
    <w:p w14:paraId="156B5DDF" w14:textId="77777777" w:rsidR="00640854" w:rsidRDefault="00640854">
      <w:pPr>
        <w:pStyle w:val="Default"/>
        <w:rPr>
          <w:rFonts w:ascii="Times New Roman" w:eastAsia="Times New Roman" w:hAnsi="Times New Roman" w:cs="Times New Roman"/>
          <w:b/>
          <w:bCs/>
          <w:i/>
          <w:iCs/>
          <w:sz w:val="26"/>
          <w:szCs w:val="26"/>
          <w:u w:val="single"/>
        </w:rPr>
      </w:pPr>
    </w:p>
    <w:p w14:paraId="52FD03A9" w14:textId="77777777" w:rsidR="00640854" w:rsidRDefault="001F2BCD">
      <w:pPr>
        <w:pStyle w:val="Default"/>
        <w:rPr>
          <w:rFonts w:ascii="Times New Roman" w:eastAsia="Times New Roman" w:hAnsi="Times New Roman" w:cs="Times New Roman"/>
          <w:b/>
          <w:bCs/>
          <w:i/>
          <w:iCs/>
          <w:sz w:val="28"/>
          <w:szCs w:val="28"/>
          <w:u w:val="single"/>
        </w:rPr>
      </w:pPr>
      <w:r>
        <w:rPr>
          <w:rFonts w:ascii="Times New Roman" w:hAnsi="Times New Roman"/>
          <w:b/>
          <w:bCs/>
          <w:i/>
          <w:iCs/>
          <w:sz w:val="28"/>
          <w:szCs w:val="28"/>
          <w:u w:val="single"/>
        </w:rPr>
        <w:t>Current Status of the State Plan</w:t>
      </w:r>
    </w:p>
    <w:p w14:paraId="4F824774" w14:textId="021FDD2A" w:rsidR="00640854" w:rsidRDefault="001F2BCD">
      <w:pPr>
        <w:pStyle w:val="Default"/>
        <w:jc w:val="both"/>
        <w:rPr>
          <w:rFonts w:ascii="Times New Roman" w:hAnsi="Times New Roman"/>
          <w:sz w:val="24"/>
          <w:szCs w:val="24"/>
        </w:rPr>
      </w:pPr>
      <w:r>
        <w:rPr>
          <w:rFonts w:ascii="Times New Roman" w:hAnsi="Times New Roman"/>
          <w:sz w:val="24"/>
          <w:szCs w:val="24"/>
        </w:rPr>
        <w:t xml:space="preserve">On </w:t>
      </w:r>
      <w:r w:rsidR="00DB61EA">
        <w:rPr>
          <w:rFonts w:ascii="Times New Roman" w:hAnsi="Times New Roman"/>
          <w:sz w:val="24"/>
          <w:szCs w:val="24"/>
        </w:rPr>
        <w:t>January 23, 2019</w:t>
      </w:r>
      <w:r>
        <w:rPr>
          <w:rFonts w:ascii="Times New Roman" w:hAnsi="Times New Roman"/>
          <w:sz w:val="24"/>
          <w:szCs w:val="24"/>
        </w:rPr>
        <w:t xml:space="preserve">, </w:t>
      </w:r>
      <w:r>
        <w:rPr>
          <w:rFonts w:ascii="Times New Roman" w:hAnsi="Times New Roman"/>
          <w:sz w:val="24"/>
          <w:szCs w:val="24"/>
          <w:lang w:val="de-DE"/>
        </w:rPr>
        <w:t xml:space="preserve">TFAD </w:t>
      </w:r>
      <w:r>
        <w:rPr>
          <w:rFonts w:ascii="Times New Roman" w:hAnsi="Times New Roman"/>
          <w:sz w:val="24"/>
          <w:szCs w:val="24"/>
        </w:rPr>
        <w:t xml:space="preserve">approved the final draft of the “State Plan to Address Alzheimer’s Disease” (2019). </w:t>
      </w:r>
      <w:r w:rsidR="002231E4">
        <w:rPr>
          <w:rFonts w:ascii="Times New Roman" w:hAnsi="Times New Roman"/>
          <w:sz w:val="24"/>
          <w:szCs w:val="24"/>
        </w:rPr>
        <w:t>As previously noted, t</w:t>
      </w:r>
      <w:r>
        <w:rPr>
          <w:rFonts w:ascii="Times New Roman" w:hAnsi="Times New Roman"/>
          <w:sz w:val="24"/>
          <w:szCs w:val="24"/>
        </w:rPr>
        <w:t>he 2019 State Plan includes</w:t>
      </w:r>
      <w:r w:rsidR="00DB61EA">
        <w:rPr>
          <w:rFonts w:ascii="Times New Roman" w:hAnsi="Times New Roman"/>
          <w:iCs/>
          <w:color w:val="FF40FF"/>
          <w:sz w:val="24"/>
          <w:szCs w:val="24"/>
        </w:rPr>
        <w:t xml:space="preserve"> </w:t>
      </w:r>
      <w:r w:rsidR="00DB61EA" w:rsidRPr="00AD5EBE">
        <w:rPr>
          <w:rFonts w:ascii="Times New Roman" w:hAnsi="Times New Roman"/>
          <w:iCs/>
          <w:color w:val="auto"/>
          <w:sz w:val="24"/>
          <w:szCs w:val="24"/>
        </w:rPr>
        <w:t>17</w:t>
      </w:r>
      <w:r>
        <w:rPr>
          <w:rFonts w:ascii="Times New Roman" w:hAnsi="Times New Roman"/>
          <w:sz w:val="24"/>
          <w:szCs w:val="24"/>
        </w:rPr>
        <w:t xml:space="preserve"> recommendations; </w:t>
      </w:r>
      <w:r w:rsidR="00DB61EA">
        <w:rPr>
          <w:rFonts w:ascii="Times New Roman" w:hAnsi="Times New Roman"/>
          <w:iCs/>
          <w:color w:val="auto"/>
          <w:sz w:val="24"/>
          <w:szCs w:val="24"/>
        </w:rPr>
        <w:t>four</w:t>
      </w:r>
      <w:r>
        <w:rPr>
          <w:rFonts w:ascii="Times New Roman" w:hAnsi="Times New Roman"/>
          <w:sz w:val="24"/>
          <w:szCs w:val="24"/>
        </w:rPr>
        <w:t xml:space="preserve"> of these are new recommendations. Each recommendation includes indicators and potential funding sources. Also, the 2019 State Plan includes Appendix A </w:t>
      </w:r>
      <w:r w:rsidRPr="001D2B30">
        <w:rPr>
          <w:rFonts w:ascii="Times New Roman" w:hAnsi="Times New Roman"/>
          <w:sz w:val="24"/>
          <w:szCs w:val="24"/>
        </w:rPr>
        <w:t>(</w:t>
      </w:r>
      <w:r w:rsidR="001C309A" w:rsidRPr="00AD5EBE">
        <w:rPr>
          <w:rFonts w:ascii="Times New Roman" w:hAnsi="Times New Roman"/>
          <w:iCs/>
          <w:color w:val="auto"/>
          <w:sz w:val="24"/>
          <w:szCs w:val="24"/>
        </w:rPr>
        <w:t>t</w:t>
      </w:r>
      <w:r w:rsidR="004948C1">
        <w:rPr>
          <w:rFonts w:ascii="Times New Roman" w:hAnsi="Times New Roman"/>
          <w:iCs/>
          <w:color w:val="auto"/>
          <w:sz w:val="24"/>
          <w:szCs w:val="24"/>
        </w:rPr>
        <w:t>hree</w:t>
      </w:r>
      <w:r w:rsidRPr="00AD5EBE">
        <w:rPr>
          <w:rFonts w:ascii="Times New Roman" w:hAnsi="Times New Roman"/>
          <w:color w:val="auto"/>
          <w:sz w:val="24"/>
          <w:szCs w:val="24"/>
        </w:rPr>
        <w:t xml:space="preserve"> recommendations </w:t>
      </w:r>
      <w:r>
        <w:rPr>
          <w:rFonts w:ascii="Times New Roman" w:hAnsi="Times New Roman"/>
          <w:sz w:val="24"/>
          <w:szCs w:val="24"/>
        </w:rPr>
        <w:t>retired from the 201</w:t>
      </w:r>
      <w:r w:rsidR="001C309A">
        <w:rPr>
          <w:rFonts w:ascii="Times New Roman" w:hAnsi="Times New Roman"/>
          <w:sz w:val="24"/>
          <w:szCs w:val="24"/>
        </w:rPr>
        <w:t>7</w:t>
      </w:r>
      <w:r>
        <w:rPr>
          <w:rFonts w:ascii="Times New Roman" w:hAnsi="Times New Roman"/>
          <w:sz w:val="24"/>
          <w:szCs w:val="24"/>
        </w:rPr>
        <w:t xml:space="preserve"> State Plan) and Appendix B (Resources).</w:t>
      </w:r>
    </w:p>
    <w:p w14:paraId="1B743F45" w14:textId="55ABF795" w:rsidR="002231E4" w:rsidRDefault="002231E4">
      <w:pPr>
        <w:pStyle w:val="Default"/>
        <w:jc w:val="both"/>
        <w:rPr>
          <w:rFonts w:ascii="Times New Roman" w:eastAsia="Times New Roman" w:hAnsi="Times New Roman" w:cs="Times New Roman"/>
          <w:sz w:val="24"/>
          <w:szCs w:val="24"/>
        </w:rPr>
      </w:pPr>
    </w:p>
    <w:p w14:paraId="414604D7" w14:textId="6FFCEBC5" w:rsidR="002231E4" w:rsidRDefault="002231E4">
      <w:pPr>
        <w:pStyle w:val="Defaul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During 2020, TFAD will be drafting a new 2021 State Plan. The process will include a review of all current recommendations in the 2019 State Plan to determine their status in terms of progress and/or completion. Recommendations that have been fully met will be retired to the State Plan Appendix. Recommendations that are deemed to be in a stage of continuation will be reviewed for any relevant updates or revisions. TFAD will also consider the adoption of new recommendations identified by members or other stakeholders.</w:t>
      </w:r>
    </w:p>
    <w:p w14:paraId="55A6548C" w14:textId="77777777" w:rsidR="00640854" w:rsidRDefault="00640854">
      <w:pPr>
        <w:pStyle w:val="Default"/>
        <w:rPr>
          <w:rFonts w:ascii="Times New Roman" w:eastAsia="Times New Roman" w:hAnsi="Times New Roman" w:cs="Times New Roman"/>
          <w:b/>
          <w:bCs/>
          <w:i/>
          <w:iCs/>
          <w:sz w:val="28"/>
          <w:szCs w:val="28"/>
          <w:u w:val="single"/>
        </w:rPr>
      </w:pPr>
    </w:p>
    <w:p w14:paraId="69066D87" w14:textId="47DD864D" w:rsidR="00640854" w:rsidRDefault="001F2BCD">
      <w:pPr>
        <w:pStyle w:val="Default"/>
        <w:rPr>
          <w:rFonts w:ascii="Times New Roman" w:hAnsi="Times New Roman"/>
          <w:b/>
          <w:bCs/>
          <w:i/>
          <w:iCs/>
          <w:sz w:val="28"/>
          <w:szCs w:val="28"/>
          <w:u w:val="single"/>
        </w:rPr>
      </w:pPr>
      <w:r>
        <w:rPr>
          <w:rFonts w:ascii="Times New Roman" w:hAnsi="Times New Roman"/>
          <w:b/>
          <w:bCs/>
          <w:i/>
          <w:iCs/>
          <w:sz w:val="28"/>
          <w:szCs w:val="28"/>
          <w:u w:val="single"/>
        </w:rPr>
        <w:t>TFAD Activities</w:t>
      </w:r>
      <w:r w:rsidR="002231E4">
        <w:rPr>
          <w:rFonts w:ascii="Times New Roman" w:hAnsi="Times New Roman"/>
          <w:b/>
          <w:bCs/>
          <w:i/>
          <w:iCs/>
          <w:sz w:val="28"/>
          <w:szCs w:val="28"/>
          <w:u w:val="single"/>
        </w:rPr>
        <w:t>—</w:t>
      </w:r>
      <w:r>
        <w:rPr>
          <w:rFonts w:ascii="Times New Roman" w:hAnsi="Times New Roman"/>
          <w:b/>
          <w:bCs/>
          <w:i/>
          <w:iCs/>
          <w:sz w:val="28"/>
          <w:szCs w:val="28"/>
          <w:u w:val="single"/>
        </w:rPr>
        <w:t>201</w:t>
      </w:r>
      <w:r w:rsidR="002231E4">
        <w:rPr>
          <w:rFonts w:ascii="Times New Roman" w:hAnsi="Times New Roman"/>
          <w:b/>
          <w:bCs/>
          <w:i/>
          <w:iCs/>
          <w:sz w:val="28"/>
          <w:szCs w:val="28"/>
          <w:u w:val="single"/>
        </w:rPr>
        <w:t>9</w:t>
      </w:r>
    </w:p>
    <w:p w14:paraId="4320E5E6" w14:textId="77777777" w:rsidR="002231E4" w:rsidRDefault="002231E4">
      <w:pPr>
        <w:pStyle w:val="Default"/>
        <w:rPr>
          <w:rFonts w:ascii="Times New Roman" w:eastAsia="Times New Roman" w:hAnsi="Times New Roman" w:cs="Times New Roman"/>
          <w:b/>
          <w:bCs/>
          <w:i/>
          <w:iCs/>
          <w:sz w:val="28"/>
          <w:szCs w:val="28"/>
          <w:u w:val="single"/>
        </w:rPr>
      </w:pPr>
    </w:p>
    <w:p w14:paraId="68505605" w14:textId="3D6AF1F1" w:rsidR="00640854" w:rsidRDefault="001F2BCD">
      <w:pPr>
        <w:pStyle w:val="Default"/>
        <w:rPr>
          <w:rFonts w:ascii="Times New Roman" w:eastAsia="Times New Roman" w:hAnsi="Times New Roman" w:cs="Times New Roman"/>
          <w:sz w:val="24"/>
          <w:szCs w:val="24"/>
        </w:rPr>
      </w:pPr>
      <w:r>
        <w:rPr>
          <w:rFonts w:ascii="Times New Roman" w:hAnsi="Times New Roman"/>
          <w:sz w:val="24"/>
          <w:szCs w:val="24"/>
          <w:lang w:val="nl-NL"/>
        </w:rPr>
        <w:t xml:space="preserve">TFAD met </w:t>
      </w:r>
      <w:r>
        <w:rPr>
          <w:rFonts w:ascii="Times New Roman" w:hAnsi="Times New Roman"/>
          <w:sz w:val="24"/>
          <w:szCs w:val="24"/>
        </w:rPr>
        <w:t>six times in 201</w:t>
      </w:r>
      <w:r w:rsidR="006340C6">
        <w:rPr>
          <w:rFonts w:ascii="Times New Roman" w:hAnsi="Times New Roman"/>
          <w:sz w:val="24"/>
          <w:szCs w:val="24"/>
        </w:rPr>
        <w:t>9</w:t>
      </w:r>
      <w:r>
        <w:rPr>
          <w:rFonts w:ascii="Times New Roman" w:hAnsi="Times New Roman"/>
          <w:sz w:val="24"/>
          <w:szCs w:val="24"/>
        </w:rPr>
        <w:t xml:space="preserve">: January </w:t>
      </w:r>
      <w:r w:rsidR="006340C6">
        <w:rPr>
          <w:rFonts w:ascii="Times New Roman" w:hAnsi="Times New Roman"/>
          <w:sz w:val="24"/>
          <w:szCs w:val="24"/>
        </w:rPr>
        <w:t>23</w:t>
      </w:r>
      <w:r>
        <w:rPr>
          <w:rFonts w:ascii="Times New Roman" w:hAnsi="Times New Roman"/>
          <w:sz w:val="24"/>
          <w:szCs w:val="24"/>
        </w:rPr>
        <w:t xml:space="preserve">, March </w:t>
      </w:r>
      <w:r w:rsidR="006340C6">
        <w:rPr>
          <w:rFonts w:ascii="Times New Roman" w:hAnsi="Times New Roman"/>
          <w:sz w:val="24"/>
          <w:szCs w:val="24"/>
        </w:rPr>
        <w:t>15</w:t>
      </w:r>
      <w:r>
        <w:rPr>
          <w:rFonts w:ascii="Times New Roman" w:hAnsi="Times New Roman"/>
          <w:sz w:val="24"/>
          <w:szCs w:val="24"/>
        </w:rPr>
        <w:t xml:space="preserve">, May </w:t>
      </w:r>
      <w:r w:rsidR="006340C6">
        <w:rPr>
          <w:rFonts w:ascii="Times New Roman" w:hAnsi="Times New Roman"/>
          <w:sz w:val="24"/>
          <w:szCs w:val="24"/>
        </w:rPr>
        <w:t>15</w:t>
      </w:r>
      <w:r>
        <w:rPr>
          <w:rFonts w:ascii="Times New Roman" w:hAnsi="Times New Roman"/>
          <w:sz w:val="24"/>
          <w:szCs w:val="24"/>
        </w:rPr>
        <w:t xml:space="preserve">, July </w:t>
      </w:r>
      <w:r w:rsidR="006340C6">
        <w:rPr>
          <w:rFonts w:ascii="Times New Roman" w:hAnsi="Times New Roman"/>
          <w:sz w:val="24"/>
          <w:szCs w:val="24"/>
        </w:rPr>
        <w:t>12</w:t>
      </w:r>
      <w:r>
        <w:rPr>
          <w:rFonts w:ascii="Times New Roman" w:hAnsi="Times New Roman"/>
          <w:sz w:val="24"/>
          <w:szCs w:val="24"/>
        </w:rPr>
        <w:t xml:space="preserve">, </w:t>
      </w:r>
      <w:r w:rsidRPr="00AD5EBE">
        <w:rPr>
          <w:rFonts w:ascii="Times New Roman" w:hAnsi="Times New Roman"/>
          <w:iCs/>
          <w:color w:val="auto"/>
          <w:sz w:val="24"/>
          <w:szCs w:val="24"/>
        </w:rPr>
        <w:t>September</w:t>
      </w:r>
      <w:r w:rsidR="006340C6">
        <w:rPr>
          <w:rFonts w:ascii="Times New Roman" w:hAnsi="Times New Roman"/>
          <w:iCs/>
          <w:color w:val="auto"/>
          <w:sz w:val="24"/>
          <w:szCs w:val="24"/>
        </w:rPr>
        <w:t xml:space="preserve"> 11</w:t>
      </w:r>
      <w:r w:rsidRPr="00AD5EBE">
        <w:rPr>
          <w:rFonts w:ascii="Times New Roman" w:hAnsi="Times New Roman"/>
          <w:iCs/>
          <w:color w:val="auto"/>
          <w:sz w:val="24"/>
          <w:szCs w:val="24"/>
        </w:rPr>
        <w:t>, and November</w:t>
      </w:r>
      <w:r w:rsidRPr="00AD5EBE">
        <w:rPr>
          <w:rFonts w:ascii="Times New Roman" w:hAnsi="Times New Roman"/>
          <w:i/>
          <w:iCs/>
          <w:color w:val="auto"/>
          <w:sz w:val="24"/>
          <w:szCs w:val="24"/>
        </w:rPr>
        <w:t xml:space="preserve"> </w:t>
      </w:r>
      <w:r w:rsidR="006340C6">
        <w:rPr>
          <w:rFonts w:ascii="Times New Roman" w:hAnsi="Times New Roman"/>
          <w:iCs/>
          <w:color w:val="auto"/>
          <w:sz w:val="24"/>
          <w:szCs w:val="24"/>
        </w:rPr>
        <w:t>15</w:t>
      </w:r>
      <w:r>
        <w:rPr>
          <w:rFonts w:ascii="Times New Roman" w:hAnsi="Times New Roman"/>
          <w:sz w:val="24"/>
          <w:szCs w:val="24"/>
        </w:rPr>
        <w:t xml:space="preserve">. The primary focus of each meeting involved </w:t>
      </w:r>
      <w:r w:rsidR="006340C6">
        <w:rPr>
          <w:rFonts w:ascii="Times New Roman" w:hAnsi="Times New Roman"/>
          <w:sz w:val="24"/>
          <w:szCs w:val="24"/>
        </w:rPr>
        <w:t xml:space="preserve">monitoring progress on the 17 recommendations included in the </w:t>
      </w:r>
      <w:r w:rsidR="006340C6" w:rsidRPr="006340C6">
        <w:rPr>
          <w:rFonts w:ascii="Times New Roman" w:hAnsi="Times New Roman"/>
          <w:i/>
          <w:sz w:val="24"/>
          <w:szCs w:val="24"/>
        </w:rPr>
        <w:t>2019 State Plan to Address Alzheimer’s Disease</w:t>
      </w:r>
      <w:r w:rsidR="006340C6">
        <w:rPr>
          <w:rFonts w:ascii="Times New Roman" w:hAnsi="Times New Roman"/>
          <w:sz w:val="24"/>
          <w:szCs w:val="24"/>
        </w:rPr>
        <w:t xml:space="preserve">, as well as receiving reports from a range of Alzheimer’s-related efforts from state and community-based groups across Nevada. </w:t>
      </w:r>
      <w:r>
        <w:rPr>
          <w:rFonts w:ascii="Times New Roman" w:hAnsi="Times New Roman"/>
          <w:sz w:val="24"/>
          <w:szCs w:val="24"/>
        </w:rPr>
        <w:t xml:space="preserve">  </w:t>
      </w:r>
    </w:p>
    <w:p w14:paraId="6D00E776" w14:textId="77777777" w:rsidR="00640854" w:rsidRDefault="00640854">
      <w:pPr>
        <w:pStyle w:val="Default"/>
        <w:rPr>
          <w:rFonts w:ascii="Times New Roman" w:eastAsia="Times New Roman" w:hAnsi="Times New Roman" w:cs="Times New Roman"/>
          <w:sz w:val="24"/>
          <w:szCs w:val="24"/>
        </w:rPr>
      </w:pPr>
    </w:p>
    <w:p w14:paraId="56BC9E6A" w14:textId="2B9F3028" w:rsidR="00640854" w:rsidRDefault="001F2BCD">
      <w:pPr>
        <w:pStyle w:val="Default"/>
        <w:rPr>
          <w:rFonts w:ascii="Times New Roman" w:hAnsi="Times New Roman"/>
          <w:sz w:val="24"/>
          <w:szCs w:val="24"/>
        </w:rPr>
      </w:pPr>
      <w:r>
        <w:rPr>
          <w:rFonts w:ascii="Times New Roman" w:hAnsi="Times New Roman"/>
          <w:sz w:val="24"/>
          <w:szCs w:val="24"/>
        </w:rPr>
        <w:lastRenderedPageBreak/>
        <w:t>T</w:t>
      </w:r>
      <w:r w:rsidR="006340C6">
        <w:rPr>
          <w:rFonts w:ascii="Times New Roman" w:hAnsi="Times New Roman"/>
          <w:sz w:val="24"/>
          <w:szCs w:val="24"/>
        </w:rPr>
        <w:t>wo k</w:t>
      </w:r>
      <w:r w:rsidR="006340C6" w:rsidRPr="00656E77">
        <w:rPr>
          <w:rFonts w:ascii="Times New Roman" w:hAnsi="Times New Roman" w:cs="Times New Roman"/>
          <w:sz w:val="24"/>
          <w:szCs w:val="24"/>
        </w:rPr>
        <w:t xml:space="preserve">ey initiatives that TFAD received regular reports from included: 1) an </w:t>
      </w:r>
      <w:r w:rsidR="00656E77" w:rsidRPr="00656E77">
        <w:rPr>
          <w:rFonts w:ascii="Times New Roman" w:hAnsi="Times New Roman" w:cs="Times New Roman"/>
          <w:sz w:val="24"/>
          <w:szCs w:val="24"/>
        </w:rPr>
        <w:t>Inter-Agency Collaboration to Address Adequacy of Dementia Care in Residential Facilities and 2) the Dementia Friendly Nevada initiative led by ADSD. Both of these efforts offered regular reports to TFAD.</w:t>
      </w:r>
      <w:r w:rsidR="006340C6">
        <w:rPr>
          <w:rFonts w:ascii="Times New Roman" w:hAnsi="Times New Roman"/>
          <w:sz w:val="24"/>
          <w:szCs w:val="24"/>
        </w:rPr>
        <w:t xml:space="preserve"> </w:t>
      </w:r>
      <w:r>
        <w:rPr>
          <w:rFonts w:ascii="Times New Roman" w:hAnsi="Times New Roman"/>
          <w:sz w:val="24"/>
          <w:szCs w:val="24"/>
        </w:rPr>
        <w:t xml:space="preserve"> </w:t>
      </w:r>
    </w:p>
    <w:p w14:paraId="1507442D" w14:textId="52CF3D6D" w:rsidR="00656E77" w:rsidRDefault="00656E77">
      <w:pPr>
        <w:pStyle w:val="Default"/>
        <w:rPr>
          <w:rFonts w:ascii="Times New Roman" w:eastAsia="Times New Roman" w:hAnsi="Times New Roman" w:cs="Times New Roman"/>
          <w:sz w:val="24"/>
          <w:szCs w:val="24"/>
        </w:rPr>
      </w:pPr>
    </w:p>
    <w:p w14:paraId="73745895" w14:textId="6E7598A6" w:rsidR="00656E77" w:rsidRDefault="00656E77">
      <w:pPr>
        <w:pStyle w:val="Default"/>
        <w:rPr>
          <w:rFonts w:ascii="Times New Roman" w:eastAsia="Times New Roman" w:hAnsi="Times New Roman" w:cs="Times New Roman"/>
          <w:sz w:val="24"/>
          <w:szCs w:val="24"/>
        </w:rPr>
      </w:pPr>
      <w:r>
        <w:rPr>
          <w:rFonts w:ascii="Times New Roman" w:eastAsia="Times New Roman" w:hAnsi="Times New Roman" w:cs="Times New Roman"/>
          <w:sz w:val="24"/>
          <w:szCs w:val="24"/>
        </w:rPr>
        <w:t>Dementia Friendly Nevada in particular was a major three-year initiative that was supported by leveraging a $1 million federal grant to ADSD in supporting six community action groups across the state (Elko, Pahrump, Pyramid Lake Paiute Tribe, Southern NV Urban, Washoe County and Winnemucca). These action groups, offered wide-ranging education and awareness programs, and connected people living with dementia and their caregivers to the valuable care and support resources offered in ADSD’s Dementia Supports Toolbox. During the course of this funded initiative, there was an 892% increase in dementia-related service utilization statewide, representing a major impact by this initiative. While the federally-funded aspect of this initiative ended on September 30, 2019, these efforts are being sustained with leadership of the program being transferred to the Dementia Engagement, Education and Research (DEER) Program at the UNR School of Community Health Sciences.</w:t>
      </w:r>
    </w:p>
    <w:p w14:paraId="1D162ECA" w14:textId="77777777" w:rsidR="00640854" w:rsidRDefault="00640854">
      <w:pPr>
        <w:pStyle w:val="Default"/>
        <w:rPr>
          <w:rFonts w:ascii="Times New Roman" w:eastAsia="Times New Roman" w:hAnsi="Times New Roman" w:cs="Times New Roman"/>
          <w:sz w:val="24"/>
          <w:szCs w:val="24"/>
        </w:rPr>
      </w:pPr>
    </w:p>
    <w:p w14:paraId="170F2ABC" w14:textId="77777777" w:rsidR="00640854" w:rsidRDefault="001F2BCD" w:rsidP="00B032CC">
      <w:pPr>
        <w:pStyle w:val="Default"/>
        <w:rPr>
          <w:rFonts w:ascii="Times New Roman" w:eastAsia="Times New Roman" w:hAnsi="Times New Roman" w:cs="Times New Roman"/>
          <w:b/>
          <w:bCs/>
          <w:i/>
          <w:iCs/>
          <w:sz w:val="28"/>
          <w:szCs w:val="28"/>
          <w:u w:val="single"/>
        </w:rPr>
      </w:pPr>
      <w:r>
        <w:rPr>
          <w:rFonts w:ascii="Times New Roman" w:hAnsi="Times New Roman"/>
          <w:b/>
          <w:bCs/>
          <w:i/>
          <w:iCs/>
          <w:sz w:val="28"/>
          <w:szCs w:val="28"/>
          <w:u w:val="single"/>
          <w:lang w:val="it-IT"/>
        </w:rPr>
        <w:t>Conclusion</w:t>
      </w:r>
    </w:p>
    <w:p w14:paraId="3BE72452" w14:textId="2AA5F09B" w:rsidR="00640854" w:rsidRDefault="001F2BCD">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The members of the Task Force on Alzheimer’s Disease appreciate the opportunity to serve the State in this very worthwhile endeavor. The creation, review, and revision of the “State Plan to Address Alzheimer’s Disease” (2013, 2015, 2017, 2019) is an essential and </w:t>
      </w:r>
      <w:r w:rsidR="004D0B6F">
        <w:rPr>
          <w:rFonts w:ascii="Times New Roman" w:hAnsi="Times New Roman"/>
          <w:sz w:val="24"/>
          <w:szCs w:val="24"/>
        </w:rPr>
        <w:t>relevant</w:t>
      </w:r>
      <w:r>
        <w:rPr>
          <w:rFonts w:ascii="Times New Roman" w:hAnsi="Times New Roman"/>
          <w:sz w:val="24"/>
          <w:szCs w:val="24"/>
        </w:rPr>
        <w:t xml:space="preserve"> tool for addressing vital issues, crafting viable recommendations, and recognizing needed solutions and resources for people living with Alzheimer’s disease and other forms of dementia, their families, and their caregivers.  Throughout the 2019 State Plan, as well as during every bi-monthly meeting, TFAD has strongly supported the profound efforts of the Dementia Friendly Communities Initiative to provide opportunities for those with Alzheimer’s disease and other forms of dementia, along with their families and care givers, to feel and experience respect, dignity, support, value, and inclusion in everyday community life. Nevada should take pride in its proactive efforts to plan for the care, comfort, and respect of these individuals.</w:t>
      </w:r>
    </w:p>
    <w:p w14:paraId="2D693635" w14:textId="77777777" w:rsidR="00640854" w:rsidRDefault="00640854">
      <w:pPr>
        <w:pStyle w:val="Default"/>
        <w:jc w:val="both"/>
        <w:rPr>
          <w:rFonts w:ascii="Times New Roman" w:eastAsia="Times New Roman" w:hAnsi="Times New Roman" w:cs="Times New Roman"/>
          <w:sz w:val="24"/>
          <w:szCs w:val="24"/>
        </w:rPr>
      </w:pPr>
    </w:p>
    <w:p w14:paraId="22683B5D" w14:textId="458F3092" w:rsidR="00640854" w:rsidRPr="00656E77" w:rsidRDefault="001F2BCD" w:rsidP="00656E77">
      <w:pPr>
        <w:pStyle w:val="Default"/>
        <w:jc w:val="both"/>
        <w:rPr>
          <w:rFonts w:ascii="Times New Roman" w:eastAsia="Times New Roman" w:hAnsi="Times New Roman" w:cs="Times New Roman"/>
          <w:sz w:val="24"/>
          <w:szCs w:val="24"/>
        </w:rPr>
      </w:pPr>
      <w:r>
        <w:rPr>
          <w:rFonts w:ascii="Times New Roman" w:hAnsi="Times New Roman"/>
          <w:sz w:val="24"/>
          <w:szCs w:val="24"/>
        </w:rPr>
        <w:t xml:space="preserve">In the ongoing commitment to these special needs in our state, TFAD members will proudly continue their work to more fully develop service delivery policy goals; identify and pursue </w:t>
      </w:r>
      <w:r>
        <w:rPr>
          <w:rFonts w:ascii="Times New Roman" w:hAnsi="Times New Roman"/>
          <w:sz w:val="24"/>
          <w:szCs w:val="24"/>
        </w:rPr>
        <w:lastRenderedPageBreak/>
        <w:t>funding for recommendations; and recommend necessary statutory changes that are essential to the success of the ever-evolving State Plan.</w:t>
      </w:r>
    </w:p>
    <w:sectPr w:rsidR="00640854" w:rsidRPr="00656E77" w:rsidSect="0059671A">
      <w:footerReference w:type="default" r:id="rId11"/>
      <w:headerReference w:type="first" r:id="rId12"/>
      <w:pgSz w:w="12240" w:h="15840"/>
      <w:pgMar w:top="1440" w:right="1440" w:bottom="1440" w:left="1440" w:header="720" w:footer="864"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Peter S Reed" w:date="2020-01-10T13:38:00Z" w:initials="PSR">
    <w:p w14:paraId="61604C6A" w14:textId="5B23E6A0" w:rsidR="00FF6C37" w:rsidRDefault="00FF6C37">
      <w:pPr>
        <w:pStyle w:val="CommentText"/>
      </w:pPr>
      <w:r>
        <w:rPr>
          <w:rStyle w:val="CommentReference"/>
        </w:rPr>
        <w:annotationRef/>
      </w:r>
      <w:r>
        <w:t>Carole: Can you please update the list with the accurate membership for 2019 – I know several of these folks left, and others joined, but don’t have the exact details. THX!</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1604C6A"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1604C6A" w16cid:durableId="21C2FC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28D72" w14:textId="77777777" w:rsidR="00034BF1" w:rsidRDefault="00034BF1">
      <w:r>
        <w:separator/>
      </w:r>
    </w:p>
  </w:endnote>
  <w:endnote w:type="continuationSeparator" w:id="0">
    <w:p w14:paraId="79D844F9" w14:textId="77777777" w:rsidR="00034BF1" w:rsidRDefault="000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7953096"/>
      <w:docPartObj>
        <w:docPartGallery w:val="Page Numbers (Bottom of Page)"/>
        <w:docPartUnique/>
      </w:docPartObj>
    </w:sdtPr>
    <w:sdtEndPr>
      <w:rPr>
        <w:noProof/>
      </w:rPr>
    </w:sdtEndPr>
    <w:sdtContent>
      <w:p w14:paraId="4C2DB181" w14:textId="58A96982" w:rsidR="008B483F" w:rsidRDefault="008B48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B32C4DE" w14:textId="77777777" w:rsidR="00640854" w:rsidRDefault="0064085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42995" w14:textId="77777777" w:rsidR="00034BF1" w:rsidRDefault="00034BF1">
      <w:r>
        <w:separator/>
      </w:r>
    </w:p>
  </w:footnote>
  <w:footnote w:type="continuationSeparator" w:id="0">
    <w:p w14:paraId="1D957843" w14:textId="77777777" w:rsidR="00034BF1" w:rsidRDefault="000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BFD88" w14:textId="05C74E21" w:rsidR="00B420F6" w:rsidRPr="005329F8" w:rsidRDefault="00CE04C7">
    <w:pPr>
      <w:pStyle w:val="Header"/>
      <w:rPr>
        <w:color w:val="D9D9D9" w:themeColor="background1" w:themeShade="D9"/>
      </w:rPr>
    </w:pPr>
    <w:sdt>
      <w:sdtPr>
        <w:id w:val="-173882220"/>
        <w:docPartObj>
          <w:docPartGallery w:val="Watermarks"/>
          <w:docPartUnique/>
        </w:docPartObj>
      </w:sdtPr>
      <w:sdtEndPr/>
      <w:sdtContent>
        <w:r>
          <w:rPr>
            <w:noProof/>
          </w:rPr>
          <w:pict w14:anchorId="457E3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41B85"/>
    <w:multiLevelType w:val="hybridMultilevel"/>
    <w:tmpl w:val="07D49692"/>
    <w:lvl w:ilvl="0" w:tplc="DFB244DA">
      <w:numFmt w:val="bullet"/>
      <w:lvlText w:val="-"/>
      <w:lvlJc w:val="left"/>
      <w:pPr>
        <w:ind w:left="800" w:hanging="360"/>
      </w:pPr>
      <w:rPr>
        <w:rFonts w:ascii="Garamond" w:eastAsia="Garamond" w:hAnsi="Garamond" w:cs="Garamond" w:hint="default"/>
        <w:spacing w:val="-15"/>
        <w:w w:val="100"/>
        <w:sz w:val="24"/>
        <w:szCs w:val="24"/>
      </w:rPr>
    </w:lvl>
    <w:lvl w:ilvl="1" w:tplc="EF78776E">
      <w:numFmt w:val="bullet"/>
      <w:lvlText w:val="•"/>
      <w:lvlJc w:val="left"/>
      <w:pPr>
        <w:ind w:left="1764" w:hanging="360"/>
      </w:pPr>
      <w:rPr>
        <w:rFonts w:hint="default"/>
      </w:rPr>
    </w:lvl>
    <w:lvl w:ilvl="2" w:tplc="40FA30B2">
      <w:numFmt w:val="bullet"/>
      <w:lvlText w:val="•"/>
      <w:lvlJc w:val="left"/>
      <w:pPr>
        <w:ind w:left="2728" w:hanging="360"/>
      </w:pPr>
      <w:rPr>
        <w:rFonts w:hint="default"/>
      </w:rPr>
    </w:lvl>
    <w:lvl w:ilvl="3" w:tplc="ACB654AA">
      <w:numFmt w:val="bullet"/>
      <w:lvlText w:val="•"/>
      <w:lvlJc w:val="left"/>
      <w:pPr>
        <w:ind w:left="3692" w:hanging="360"/>
      </w:pPr>
      <w:rPr>
        <w:rFonts w:hint="default"/>
      </w:rPr>
    </w:lvl>
    <w:lvl w:ilvl="4" w:tplc="78D6181E">
      <w:numFmt w:val="bullet"/>
      <w:lvlText w:val="•"/>
      <w:lvlJc w:val="left"/>
      <w:pPr>
        <w:ind w:left="4656" w:hanging="360"/>
      </w:pPr>
      <w:rPr>
        <w:rFonts w:hint="default"/>
      </w:rPr>
    </w:lvl>
    <w:lvl w:ilvl="5" w:tplc="BC56E0C2">
      <w:numFmt w:val="bullet"/>
      <w:lvlText w:val="•"/>
      <w:lvlJc w:val="left"/>
      <w:pPr>
        <w:ind w:left="5620" w:hanging="360"/>
      </w:pPr>
      <w:rPr>
        <w:rFonts w:hint="default"/>
      </w:rPr>
    </w:lvl>
    <w:lvl w:ilvl="6" w:tplc="23A48DD4">
      <w:numFmt w:val="bullet"/>
      <w:lvlText w:val="•"/>
      <w:lvlJc w:val="left"/>
      <w:pPr>
        <w:ind w:left="6584" w:hanging="360"/>
      </w:pPr>
      <w:rPr>
        <w:rFonts w:hint="default"/>
      </w:rPr>
    </w:lvl>
    <w:lvl w:ilvl="7" w:tplc="A28413D6">
      <w:numFmt w:val="bullet"/>
      <w:lvlText w:val="•"/>
      <w:lvlJc w:val="left"/>
      <w:pPr>
        <w:ind w:left="7548" w:hanging="360"/>
      </w:pPr>
      <w:rPr>
        <w:rFonts w:hint="default"/>
      </w:rPr>
    </w:lvl>
    <w:lvl w:ilvl="8" w:tplc="49F0FA2E">
      <w:numFmt w:val="bullet"/>
      <w:lvlText w:val="•"/>
      <w:lvlJc w:val="left"/>
      <w:pPr>
        <w:ind w:left="8512" w:hanging="360"/>
      </w:pPr>
      <w:rPr>
        <w:rFont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eter S Reed">
    <w15:presenceInfo w15:providerId="AD" w15:userId="S-1-5-21-1275210071-1123561945-682003330-210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isplayBackgroundShape/>
  <w:proofState w:spelling="clean" w:grammar="clean"/>
  <w:revisionView w:markup="0" w:comments="0" w:insDel="0" w:formatting="0"/>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854"/>
    <w:rsid w:val="000032B2"/>
    <w:rsid w:val="00022804"/>
    <w:rsid w:val="00025DD3"/>
    <w:rsid w:val="00033346"/>
    <w:rsid w:val="00034BF1"/>
    <w:rsid w:val="00057803"/>
    <w:rsid w:val="00096CF5"/>
    <w:rsid w:val="000F0D56"/>
    <w:rsid w:val="001A5C29"/>
    <w:rsid w:val="001C309A"/>
    <w:rsid w:val="001D2B30"/>
    <w:rsid w:val="001F2BCD"/>
    <w:rsid w:val="002231E4"/>
    <w:rsid w:val="00253A78"/>
    <w:rsid w:val="0026304A"/>
    <w:rsid w:val="002B0BE1"/>
    <w:rsid w:val="0030527D"/>
    <w:rsid w:val="00312038"/>
    <w:rsid w:val="0033235C"/>
    <w:rsid w:val="00397824"/>
    <w:rsid w:val="00430458"/>
    <w:rsid w:val="00491586"/>
    <w:rsid w:val="004948C1"/>
    <w:rsid w:val="004A269C"/>
    <w:rsid w:val="004C2367"/>
    <w:rsid w:val="004D0B6F"/>
    <w:rsid w:val="004F37BA"/>
    <w:rsid w:val="0050588E"/>
    <w:rsid w:val="005137BF"/>
    <w:rsid w:val="005329F8"/>
    <w:rsid w:val="005818A2"/>
    <w:rsid w:val="005903B9"/>
    <w:rsid w:val="0059671A"/>
    <w:rsid w:val="00596EF1"/>
    <w:rsid w:val="005A050E"/>
    <w:rsid w:val="005C4A00"/>
    <w:rsid w:val="006102E6"/>
    <w:rsid w:val="006323BD"/>
    <w:rsid w:val="006340C6"/>
    <w:rsid w:val="0063462F"/>
    <w:rsid w:val="00640854"/>
    <w:rsid w:val="00645ADD"/>
    <w:rsid w:val="00656E77"/>
    <w:rsid w:val="006E7369"/>
    <w:rsid w:val="006F469F"/>
    <w:rsid w:val="0071469C"/>
    <w:rsid w:val="00716A46"/>
    <w:rsid w:val="00720A6C"/>
    <w:rsid w:val="00743FA2"/>
    <w:rsid w:val="0075258B"/>
    <w:rsid w:val="00770555"/>
    <w:rsid w:val="007B7D62"/>
    <w:rsid w:val="007C1275"/>
    <w:rsid w:val="007D5EB1"/>
    <w:rsid w:val="00834561"/>
    <w:rsid w:val="008415F0"/>
    <w:rsid w:val="00855F97"/>
    <w:rsid w:val="008771C2"/>
    <w:rsid w:val="008B483F"/>
    <w:rsid w:val="008C60A5"/>
    <w:rsid w:val="00915508"/>
    <w:rsid w:val="0091606F"/>
    <w:rsid w:val="009247AE"/>
    <w:rsid w:val="009713EE"/>
    <w:rsid w:val="00973D9C"/>
    <w:rsid w:val="009B149A"/>
    <w:rsid w:val="009C7EC6"/>
    <w:rsid w:val="009D0BC0"/>
    <w:rsid w:val="00A80BA7"/>
    <w:rsid w:val="00AD5EBE"/>
    <w:rsid w:val="00B032CC"/>
    <w:rsid w:val="00B226E8"/>
    <w:rsid w:val="00B272B3"/>
    <w:rsid w:val="00B420F6"/>
    <w:rsid w:val="00B47867"/>
    <w:rsid w:val="00BA3A76"/>
    <w:rsid w:val="00BC35FF"/>
    <w:rsid w:val="00BD6C8A"/>
    <w:rsid w:val="00BE6251"/>
    <w:rsid w:val="00BE7316"/>
    <w:rsid w:val="00C93B24"/>
    <w:rsid w:val="00CC542D"/>
    <w:rsid w:val="00CE04C7"/>
    <w:rsid w:val="00CE31AA"/>
    <w:rsid w:val="00CE3B7F"/>
    <w:rsid w:val="00CF4C79"/>
    <w:rsid w:val="00D032EC"/>
    <w:rsid w:val="00D5784A"/>
    <w:rsid w:val="00D831B2"/>
    <w:rsid w:val="00DB61EA"/>
    <w:rsid w:val="00DD1CC8"/>
    <w:rsid w:val="00DF72E8"/>
    <w:rsid w:val="00E02DD3"/>
    <w:rsid w:val="00E04887"/>
    <w:rsid w:val="00E52C0F"/>
    <w:rsid w:val="00E774DD"/>
    <w:rsid w:val="00E85351"/>
    <w:rsid w:val="00E979E3"/>
    <w:rsid w:val="00EA5970"/>
    <w:rsid w:val="00EB2C49"/>
    <w:rsid w:val="00EE0F7E"/>
    <w:rsid w:val="00EE231E"/>
    <w:rsid w:val="00F3116D"/>
    <w:rsid w:val="00FF6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4AAC06B8"/>
  <w15:docId w15:val="{F342F335-3A3A-4E2D-A6B0-0BFED44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803"/>
  </w:style>
  <w:style w:type="paragraph" w:styleId="Heading1">
    <w:name w:val="heading 1"/>
    <w:basedOn w:val="Normal"/>
    <w:next w:val="Normal"/>
    <w:link w:val="Heading1Char"/>
    <w:uiPriority w:val="9"/>
    <w:qFormat/>
    <w:rsid w:val="00057803"/>
    <w:pPr>
      <w:keepNext/>
      <w:keepLines/>
      <w:spacing w:before="360" w:after="40" w:line="240" w:lineRule="auto"/>
      <w:outlineLvl w:val="0"/>
    </w:pPr>
    <w:rPr>
      <w:rFonts w:asciiTheme="majorHAnsi" w:eastAsiaTheme="majorEastAsia" w:hAnsiTheme="majorHAnsi" w:cstheme="majorBidi"/>
      <w:color w:val="501863" w:themeColor="accent6" w:themeShade="BF"/>
      <w:sz w:val="40"/>
      <w:szCs w:val="40"/>
    </w:rPr>
  </w:style>
  <w:style w:type="paragraph" w:styleId="Heading2">
    <w:name w:val="heading 2"/>
    <w:basedOn w:val="Normal"/>
    <w:next w:val="Normal"/>
    <w:link w:val="Heading2Char"/>
    <w:uiPriority w:val="9"/>
    <w:semiHidden/>
    <w:unhideWhenUsed/>
    <w:qFormat/>
    <w:rsid w:val="00057803"/>
    <w:pPr>
      <w:keepNext/>
      <w:keepLines/>
      <w:spacing w:before="80" w:after="0" w:line="240" w:lineRule="auto"/>
      <w:outlineLvl w:val="1"/>
    </w:pPr>
    <w:rPr>
      <w:rFonts w:asciiTheme="majorHAnsi" w:eastAsiaTheme="majorEastAsia" w:hAnsiTheme="majorHAnsi" w:cstheme="majorBidi"/>
      <w:color w:val="501863" w:themeColor="accent6" w:themeShade="BF"/>
      <w:sz w:val="28"/>
      <w:szCs w:val="28"/>
    </w:rPr>
  </w:style>
  <w:style w:type="paragraph" w:styleId="Heading3">
    <w:name w:val="heading 3"/>
    <w:basedOn w:val="Normal"/>
    <w:next w:val="Normal"/>
    <w:link w:val="Heading3Char"/>
    <w:uiPriority w:val="9"/>
    <w:semiHidden/>
    <w:unhideWhenUsed/>
    <w:qFormat/>
    <w:rsid w:val="00057803"/>
    <w:pPr>
      <w:keepNext/>
      <w:keepLines/>
      <w:spacing w:before="80" w:after="0" w:line="240" w:lineRule="auto"/>
      <w:outlineLvl w:val="2"/>
    </w:pPr>
    <w:rPr>
      <w:rFonts w:asciiTheme="majorHAnsi" w:eastAsiaTheme="majorEastAsia" w:hAnsiTheme="majorHAnsi" w:cstheme="majorBidi"/>
      <w:color w:val="501863" w:themeColor="accent6" w:themeShade="BF"/>
      <w:sz w:val="24"/>
      <w:szCs w:val="24"/>
    </w:rPr>
  </w:style>
  <w:style w:type="paragraph" w:styleId="Heading4">
    <w:name w:val="heading 4"/>
    <w:basedOn w:val="Normal"/>
    <w:next w:val="Normal"/>
    <w:link w:val="Heading4Char"/>
    <w:uiPriority w:val="9"/>
    <w:semiHidden/>
    <w:unhideWhenUsed/>
    <w:qFormat/>
    <w:rsid w:val="00057803"/>
    <w:pPr>
      <w:keepNext/>
      <w:keepLines/>
      <w:spacing w:before="80" w:after="0"/>
      <w:outlineLvl w:val="3"/>
    </w:pPr>
    <w:rPr>
      <w:rFonts w:asciiTheme="majorHAnsi" w:eastAsiaTheme="majorEastAsia" w:hAnsiTheme="majorHAnsi" w:cstheme="majorBidi"/>
      <w:color w:val="6C2085" w:themeColor="accent6"/>
      <w:sz w:val="22"/>
      <w:szCs w:val="22"/>
    </w:rPr>
  </w:style>
  <w:style w:type="paragraph" w:styleId="Heading5">
    <w:name w:val="heading 5"/>
    <w:basedOn w:val="Normal"/>
    <w:next w:val="Normal"/>
    <w:link w:val="Heading5Char"/>
    <w:uiPriority w:val="9"/>
    <w:semiHidden/>
    <w:unhideWhenUsed/>
    <w:qFormat/>
    <w:rsid w:val="00057803"/>
    <w:pPr>
      <w:keepNext/>
      <w:keepLines/>
      <w:spacing w:before="40" w:after="0"/>
      <w:outlineLvl w:val="4"/>
    </w:pPr>
    <w:rPr>
      <w:rFonts w:asciiTheme="majorHAnsi" w:eastAsiaTheme="majorEastAsia" w:hAnsiTheme="majorHAnsi" w:cstheme="majorBidi"/>
      <w:i/>
      <w:iCs/>
      <w:color w:val="6C2085" w:themeColor="accent6"/>
      <w:sz w:val="22"/>
      <w:szCs w:val="22"/>
    </w:rPr>
  </w:style>
  <w:style w:type="paragraph" w:styleId="Heading6">
    <w:name w:val="heading 6"/>
    <w:basedOn w:val="Normal"/>
    <w:next w:val="Normal"/>
    <w:link w:val="Heading6Char"/>
    <w:uiPriority w:val="9"/>
    <w:semiHidden/>
    <w:unhideWhenUsed/>
    <w:qFormat/>
    <w:rsid w:val="00057803"/>
    <w:pPr>
      <w:keepNext/>
      <w:keepLines/>
      <w:spacing w:before="40" w:after="0"/>
      <w:outlineLvl w:val="5"/>
    </w:pPr>
    <w:rPr>
      <w:rFonts w:asciiTheme="majorHAnsi" w:eastAsiaTheme="majorEastAsia" w:hAnsiTheme="majorHAnsi" w:cstheme="majorBidi"/>
      <w:color w:val="6C2085" w:themeColor="accent6"/>
    </w:rPr>
  </w:style>
  <w:style w:type="paragraph" w:styleId="Heading7">
    <w:name w:val="heading 7"/>
    <w:basedOn w:val="Normal"/>
    <w:next w:val="Normal"/>
    <w:link w:val="Heading7Char"/>
    <w:uiPriority w:val="9"/>
    <w:semiHidden/>
    <w:unhideWhenUsed/>
    <w:qFormat/>
    <w:rsid w:val="00057803"/>
    <w:pPr>
      <w:keepNext/>
      <w:keepLines/>
      <w:spacing w:before="40" w:after="0"/>
      <w:outlineLvl w:val="6"/>
    </w:pPr>
    <w:rPr>
      <w:rFonts w:asciiTheme="majorHAnsi" w:eastAsiaTheme="majorEastAsia" w:hAnsiTheme="majorHAnsi" w:cstheme="majorBidi"/>
      <w:b/>
      <w:bCs/>
      <w:color w:val="6C2085" w:themeColor="accent6"/>
    </w:rPr>
  </w:style>
  <w:style w:type="paragraph" w:styleId="Heading8">
    <w:name w:val="heading 8"/>
    <w:basedOn w:val="Normal"/>
    <w:next w:val="Normal"/>
    <w:link w:val="Heading8Char"/>
    <w:uiPriority w:val="9"/>
    <w:semiHidden/>
    <w:unhideWhenUsed/>
    <w:qFormat/>
    <w:rsid w:val="00057803"/>
    <w:pPr>
      <w:keepNext/>
      <w:keepLines/>
      <w:spacing w:before="40" w:after="0"/>
      <w:outlineLvl w:val="7"/>
    </w:pPr>
    <w:rPr>
      <w:rFonts w:asciiTheme="majorHAnsi" w:eastAsiaTheme="majorEastAsia" w:hAnsiTheme="majorHAnsi" w:cstheme="majorBidi"/>
      <w:b/>
      <w:bCs/>
      <w:i/>
      <w:iCs/>
      <w:color w:val="6C2085" w:themeColor="accent6"/>
      <w:sz w:val="20"/>
      <w:szCs w:val="20"/>
    </w:rPr>
  </w:style>
  <w:style w:type="paragraph" w:styleId="Heading9">
    <w:name w:val="heading 9"/>
    <w:basedOn w:val="Normal"/>
    <w:next w:val="Normal"/>
    <w:link w:val="Heading9Char"/>
    <w:uiPriority w:val="9"/>
    <w:semiHidden/>
    <w:unhideWhenUsed/>
    <w:qFormat/>
    <w:rsid w:val="00057803"/>
    <w:pPr>
      <w:keepNext/>
      <w:keepLines/>
      <w:spacing w:before="40" w:after="0"/>
      <w:outlineLvl w:val="8"/>
    </w:pPr>
    <w:rPr>
      <w:rFonts w:asciiTheme="majorHAnsi" w:eastAsiaTheme="majorEastAsia" w:hAnsiTheme="majorHAnsi" w:cstheme="majorBidi"/>
      <w:i/>
      <w:iCs/>
      <w:color w:val="6C2085"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customStyle="1" w:styleId="Body">
    <w:name w:val="Body"/>
    <w:rPr>
      <w:rFonts w:ascii="Helvetica" w:hAnsi="Helvetica" w:cs="Arial Unicode MS"/>
      <w:color w:val="000000"/>
      <w:sz w:val="22"/>
      <w:szCs w:val="22"/>
    </w:rPr>
  </w:style>
  <w:style w:type="character" w:styleId="CommentReference">
    <w:name w:val="annotation reference"/>
    <w:basedOn w:val="DefaultParagraphFont"/>
    <w:uiPriority w:val="99"/>
    <w:semiHidden/>
    <w:unhideWhenUsed/>
    <w:rsid w:val="001A5C29"/>
    <w:rPr>
      <w:sz w:val="16"/>
      <w:szCs w:val="16"/>
    </w:rPr>
  </w:style>
  <w:style w:type="paragraph" w:styleId="CommentText">
    <w:name w:val="annotation text"/>
    <w:basedOn w:val="Normal"/>
    <w:link w:val="CommentTextChar"/>
    <w:uiPriority w:val="99"/>
    <w:semiHidden/>
    <w:unhideWhenUsed/>
    <w:rsid w:val="001A5C29"/>
    <w:rPr>
      <w:sz w:val="20"/>
      <w:szCs w:val="20"/>
    </w:rPr>
  </w:style>
  <w:style w:type="character" w:customStyle="1" w:styleId="CommentTextChar">
    <w:name w:val="Comment Text Char"/>
    <w:basedOn w:val="DefaultParagraphFont"/>
    <w:link w:val="CommentText"/>
    <w:uiPriority w:val="99"/>
    <w:semiHidden/>
    <w:rsid w:val="001A5C29"/>
  </w:style>
  <w:style w:type="paragraph" w:styleId="CommentSubject">
    <w:name w:val="annotation subject"/>
    <w:basedOn w:val="CommentText"/>
    <w:next w:val="CommentText"/>
    <w:link w:val="CommentSubjectChar"/>
    <w:uiPriority w:val="99"/>
    <w:semiHidden/>
    <w:unhideWhenUsed/>
    <w:rsid w:val="001A5C29"/>
    <w:rPr>
      <w:b/>
      <w:bCs/>
    </w:rPr>
  </w:style>
  <w:style w:type="character" w:customStyle="1" w:styleId="CommentSubjectChar">
    <w:name w:val="Comment Subject Char"/>
    <w:basedOn w:val="CommentTextChar"/>
    <w:link w:val="CommentSubject"/>
    <w:uiPriority w:val="99"/>
    <w:semiHidden/>
    <w:rsid w:val="001A5C29"/>
    <w:rPr>
      <w:b/>
      <w:bCs/>
    </w:rPr>
  </w:style>
  <w:style w:type="paragraph" w:styleId="BalloonText">
    <w:name w:val="Balloon Text"/>
    <w:basedOn w:val="Normal"/>
    <w:link w:val="BalloonTextChar"/>
    <w:uiPriority w:val="99"/>
    <w:semiHidden/>
    <w:unhideWhenUsed/>
    <w:rsid w:val="001A5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C29"/>
    <w:rPr>
      <w:rFonts w:ascii="Segoe UI" w:hAnsi="Segoe UI" w:cs="Segoe UI"/>
      <w:sz w:val="18"/>
      <w:szCs w:val="18"/>
    </w:rPr>
  </w:style>
  <w:style w:type="character" w:styleId="UnresolvedMention">
    <w:name w:val="Unresolved Mention"/>
    <w:basedOn w:val="DefaultParagraphFont"/>
    <w:uiPriority w:val="99"/>
    <w:semiHidden/>
    <w:unhideWhenUsed/>
    <w:rsid w:val="00096CF5"/>
    <w:rPr>
      <w:color w:val="605E5C"/>
      <w:shd w:val="clear" w:color="auto" w:fill="E1DFDD"/>
    </w:rPr>
  </w:style>
  <w:style w:type="paragraph" w:styleId="Header">
    <w:name w:val="header"/>
    <w:basedOn w:val="Normal"/>
    <w:link w:val="HeaderChar"/>
    <w:uiPriority w:val="99"/>
    <w:unhideWhenUsed/>
    <w:rsid w:val="008B483F"/>
    <w:pPr>
      <w:tabs>
        <w:tab w:val="center" w:pos="4680"/>
        <w:tab w:val="right" w:pos="9360"/>
      </w:tabs>
    </w:pPr>
  </w:style>
  <w:style w:type="character" w:customStyle="1" w:styleId="HeaderChar">
    <w:name w:val="Header Char"/>
    <w:basedOn w:val="DefaultParagraphFont"/>
    <w:link w:val="Header"/>
    <w:uiPriority w:val="99"/>
    <w:rsid w:val="008B483F"/>
    <w:rPr>
      <w:sz w:val="24"/>
      <w:szCs w:val="24"/>
    </w:rPr>
  </w:style>
  <w:style w:type="paragraph" w:styleId="Footer">
    <w:name w:val="footer"/>
    <w:basedOn w:val="Normal"/>
    <w:link w:val="FooterChar"/>
    <w:uiPriority w:val="99"/>
    <w:unhideWhenUsed/>
    <w:rsid w:val="008B483F"/>
    <w:pPr>
      <w:tabs>
        <w:tab w:val="center" w:pos="4680"/>
        <w:tab w:val="right" w:pos="9360"/>
      </w:tabs>
    </w:pPr>
  </w:style>
  <w:style w:type="character" w:customStyle="1" w:styleId="FooterChar">
    <w:name w:val="Footer Char"/>
    <w:basedOn w:val="DefaultParagraphFont"/>
    <w:link w:val="Footer"/>
    <w:uiPriority w:val="99"/>
    <w:rsid w:val="008B483F"/>
    <w:rPr>
      <w:sz w:val="24"/>
      <w:szCs w:val="24"/>
    </w:rPr>
  </w:style>
  <w:style w:type="paragraph" w:styleId="BodyText">
    <w:name w:val="Body Text"/>
    <w:basedOn w:val="Normal"/>
    <w:link w:val="BodyTextChar"/>
    <w:uiPriority w:val="1"/>
    <w:rsid w:val="00EA5970"/>
    <w:pPr>
      <w:widowControl w:val="0"/>
      <w:autoSpaceDE w:val="0"/>
      <w:autoSpaceDN w:val="0"/>
    </w:pPr>
    <w:rPr>
      <w:rFonts w:ascii="Garamond" w:eastAsia="Garamond" w:hAnsi="Garamond" w:cs="Garamond"/>
    </w:rPr>
  </w:style>
  <w:style w:type="character" w:customStyle="1" w:styleId="BodyTextChar">
    <w:name w:val="Body Text Char"/>
    <w:basedOn w:val="DefaultParagraphFont"/>
    <w:link w:val="BodyText"/>
    <w:uiPriority w:val="1"/>
    <w:rsid w:val="00EA5970"/>
    <w:rPr>
      <w:rFonts w:ascii="Garamond" w:eastAsia="Garamond" w:hAnsi="Garamond" w:cs="Garamond"/>
      <w:sz w:val="24"/>
      <w:szCs w:val="24"/>
      <w:bdr w:val="none" w:sz="0" w:space="0" w:color="auto"/>
    </w:rPr>
  </w:style>
  <w:style w:type="paragraph" w:styleId="ListParagraph">
    <w:name w:val="List Paragraph"/>
    <w:basedOn w:val="Normal"/>
    <w:uiPriority w:val="34"/>
    <w:qFormat/>
    <w:rsid w:val="00EA5970"/>
    <w:pPr>
      <w:ind w:left="720"/>
      <w:contextualSpacing/>
    </w:pPr>
  </w:style>
  <w:style w:type="character" w:customStyle="1" w:styleId="Heading1Char">
    <w:name w:val="Heading 1 Char"/>
    <w:basedOn w:val="DefaultParagraphFont"/>
    <w:link w:val="Heading1"/>
    <w:uiPriority w:val="9"/>
    <w:rsid w:val="00057803"/>
    <w:rPr>
      <w:rFonts w:asciiTheme="majorHAnsi" w:eastAsiaTheme="majorEastAsia" w:hAnsiTheme="majorHAnsi" w:cstheme="majorBidi"/>
      <w:color w:val="501863" w:themeColor="accent6" w:themeShade="BF"/>
      <w:sz w:val="40"/>
      <w:szCs w:val="40"/>
    </w:rPr>
  </w:style>
  <w:style w:type="character" w:customStyle="1" w:styleId="Heading2Char">
    <w:name w:val="Heading 2 Char"/>
    <w:basedOn w:val="DefaultParagraphFont"/>
    <w:link w:val="Heading2"/>
    <w:uiPriority w:val="9"/>
    <w:semiHidden/>
    <w:rsid w:val="00057803"/>
    <w:rPr>
      <w:rFonts w:asciiTheme="majorHAnsi" w:eastAsiaTheme="majorEastAsia" w:hAnsiTheme="majorHAnsi" w:cstheme="majorBidi"/>
      <w:color w:val="501863" w:themeColor="accent6" w:themeShade="BF"/>
      <w:sz w:val="28"/>
      <w:szCs w:val="28"/>
    </w:rPr>
  </w:style>
  <w:style w:type="character" w:customStyle="1" w:styleId="Heading3Char">
    <w:name w:val="Heading 3 Char"/>
    <w:basedOn w:val="DefaultParagraphFont"/>
    <w:link w:val="Heading3"/>
    <w:uiPriority w:val="9"/>
    <w:semiHidden/>
    <w:rsid w:val="00057803"/>
    <w:rPr>
      <w:rFonts w:asciiTheme="majorHAnsi" w:eastAsiaTheme="majorEastAsia" w:hAnsiTheme="majorHAnsi" w:cstheme="majorBidi"/>
      <w:color w:val="501863" w:themeColor="accent6" w:themeShade="BF"/>
      <w:sz w:val="24"/>
      <w:szCs w:val="24"/>
    </w:rPr>
  </w:style>
  <w:style w:type="character" w:customStyle="1" w:styleId="Heading4Char">
    <w:name w:val="Heading 4 Char"/>
    <w:basedOn w:val="DefaultParagraphFont"/>
    <w:link w:val="Heading4"/>
    <w:uiPriority w:val="9"/>
    <w:semiHidden/>
    <w:rsid w:val="00057803"/>
    <w:rPr>
      <w:rFonts w:asciiTheme="majorHAnsi" w:eastAsiaTheme="majorEastAsia" w:hAnsiTheme="majorHAnsi" w:cstheme="majorBidi"/>
      <w:color w:val="6C2085" w:themeColor="accent6"/>
      <w:sz w:val="22"/>
      <w:szCs w:val="22"/>
    </w:rPr>
  </w:style>
  <w:style w:type="character" w:customStyle="1" w:styleId="Heading5Char">
    <w:name w:val="Heading 5 Char"/>
    <w:basedOn w:val="DefaultParagraphFont"/>
    <w:link w:val="Heading5"/>
    <w:uiPriority w:val="9"/>
    <w:semiHidden/>
    <w:rsid w:val="00057803"/>
    <w:rPr>
      <w:rFonts w:asciiTheme="majorHAnsi" w:eastAsiaTheme="majorEastAsia" w:hAnsiTheme="majorHAnsi" w:cstheme="majorBidi"/>
      <w:i/>
      <w:iCs/>
      <w:color w:val="6C2085" w:themeColor="accent6"/>
      <w:sz w:val="22"/>
      <w:szCs w:val="22"/>
    </w:rPr>
  </w:style>
  <w:style w:type="character" w:customStyle="1" w:styleId="Heading6Char">
    <w:name w:val="Heading 6 Char"/>
    <w:basedOn w:val="DefaultParagraphFont"/>
    <w:link w:val="Heading6"/>
    <w:uiPriority w:val="9"/>
    <w:semiHidden/>
    <w:rsid w:val="00057803"/>
    <w:rPr>
      <w:rFonts w:asciiTheme="majorHAnsi" w:eastAsiaTheme="majorEastAsia" w:hAnsiTheme="majorHAnsi" w:cstheme="majorBidi"/>
      <w:color w:val="6C2085" w:themeColor="accent6"/>
    </w:rPr>
  </w:style>
  <w:style w:type="character" w:customStyle="1" w:styleId="Heading7Char">
    <w:name w:val="Heading 7 Char"/>
    <w:basedOn w:val="DefaultParagraphFont"/>
    <w:link w:val="Heading7"/>
    <w:uiPriority w:val="9"/>
    <w:semiHidden/>
    <w:rsid w:val="00057803"/>
    <w:rPr>
      <w:rFonts w:asciiTheme="majorHAnsi" w:eastAsiaTheme="majorEastAsia" w:hAnsiTheme="majorHAnsi" w:cstheme="majorBidi"/>
      <w:b/>
      <w:bCs/>
      <w:color w:val="6C2085" w:themeColor="accent6"/>
    </w:rPr>
  </w:style>
  <w:style w:type="character" w:customStyle="1" w:styleId="Heading8Char">
    <w:name w:val="Heading 8 Char"/>
    <w:basedOn w:val="DefaultParagraphFont"/>
    <w:link w:val="Heading8"/>
    <w:uiPriority w:val="9"/>
    <w:semiHidden/>
    <w:rsid w:val="00057803"/>
    <w:rPr>
      <w:rFonts w:asciiTheme="majorHAnsi" w:eastAsiaTheme="majorEastAsia" w:hAnsiTheme="majorHAnsi" w:cstheme="majorBidi"/>
      <w:b/>
      <w:bCs/>
      <w:i/>
      <w:iCs/>
      <w:color w:val="6C2085" w:themeColor="accent6"/>
      <w:sz w:val="20"/>
      <w:szCs w:val="20"/>
    </w:rPr>
  </w:style>
  <w:style w:type="character" w:customStyle="1" w:styleId="Heading9Char">
    <w:name w:val="Heading 9 Char"/>
    <w:basedOn w:val="DefaultParagraphFont"/>
    <w:link w:val="Heading9"/>
    <w:uiPriority w:val="9"/>
    <w:semiHidden/>
    <w:rsid w:val="00057803"/>
    <w:rPr>
      <w:rFonts w:asciiTheme="majorHAnsi" w:eastAsiaTheme="majorEastAsia" w:hAnsiTheme="majorHAnsi" w:cstheme="majorBidi"/>
      <w:i/>
      <w:iCs/>
      <w:color w:val="6C2085" w:themeColor="accent6"/>
      <w:sz w:val="20"/>
      <w:szCs w:val="20"/>
    </w:rPr>
  </w:style>
  <w:style w:type="paragraph" w:styleId="Caption">
    <w:name w:val="caption"/>
    <w:basedOn w:val="Normal"/>
    <w:next w:val="Normal"/>
    <w:uiPriority w:val="35"/>
    <w:semiHidden/>
    <w:unhideWhenUsed/>
    <w:qFormat/>
    <w:rsid w:val="00057803"/>
    <w:pPr>
      <w:spacing w:line="240" w:lineRule="auto"/>
    </w:pPr>
    <w:rPr>
      <w:b/>
      <w:bCs/>
      <w:smallCaps/>
      <w:color w:val="595959" w:themeColor="text1" w:themeTint="A6"/>
    </w:rPr>
  </w:style>
  <w:style w:type="paragraph" w:styleId="Title">
    <w:name w:val="Title"/>
    <w:basedOn w:val="Normal"/>
    <w:next w:val="Normal"/>
    <w:link w:val="TitleChar"/>
    <w:uiPriority w:val="10"/>
    <w:qFormat/>
    <w:rsid w:val="000032B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032B2"/>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57803"/>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57803"/>
    <w:rPr>
      <w:rFonts w:asciiTheme="majorHAnsi" w:eastAsiaTheme="majorEastAsia" w:hAnsiTheme="majorHAnsi" w:cstheme="majorBidi"/>
      <w:sz w:val="30"/>
      <w:szCs w:val="30"/>
    </w:rPr>
  </w:style>
  <w:style w:type="character" w:styleId="Strong">
    <w:name w:val="Strong"/>
    <w:basedOn w:val="DefaultParagraphFont"/>
    <w:uiPriority w:val="22"/>
    <w:qFormat/>
    <w:rsid w:val="005903B9"/>
    <w:rPr>
      <w:b/>
      <w:bCs/>
    </w:rPr>
  </w:style>
  <w:style w:type="character" w:styleId="Emphasis">
    <w:name w:val="Emphasis"/>
    <w:basedOn w:val="DefaultParagraphFont"/>
    <w:uiPriority w:val="20"/>
    <w:qFormat/>
    <w:rsid w:val="00057803"/>
    <w:rPr>
      <w:i/>
      <w:iCs/>
      <w:color w:val="6C2085" w:themeColor="accent6"/>
    </w:rPr>
  </w:style>
  <w:style w:type="paragraph" w:styleId="NoSpacing">
    <w:name w:val="No Spacing"/>
    <w:uiPriority w:val="1"/>
    <w:qFormat/>
    <w:rsid w:val="00057803"/>
    <w:pPr>
      <w:spacing w:after="0" w:line="240" w:lineRule="auto"/>
    </w:pPr>
  </w:style>
  <w:style w:type="paragraph" w:styleId="Quote">
    <w:name w:val="Quote"/>
    <w:basedOn w:val="Normal"/>
    <w:next w:val="Normal"/>
    <w:link w:val="QuoteChar"/>
    <w:uiPriority w:val="29"/>
    <w:qFormat/>
    <w:rsid w:val="00057803"/>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57803"/>
    <w:rPr>
      <w:i/>
      <w:iCs/>
      <w:color w:val="262626" w:themeColor="text1" w:themeTint="D9"/>
    </w:rPr>
  </w:style>
  <w:style w:type="paragraph" w:styleId="IntenseQuote">
    <w:name w:val="Intense Quote"/>
    <w:basedOn w:val="Normal"/>
    <w:next w:val="Normal"/>
    <w:link w:val="IntenseQuoteChar"/>
    <w:uiPriority w:val="30"/>
    <w:qFormat/>
    <w:rsid w:val="00057803"/>
    <w:pPr>
      <w:spacing w:before="160" w:after="160" w:line="264" w:lineRule="auto"/>
      <w:ind w:left="720" w:right="720"/>
      <w:jc w:val="center"/>
    </w:pPr>
    <w:rPr>
      <w:rFonts w:asciiTheme="majorHAnsi" w:eastAsiaTheme="majorEastAsia" w:hAnsiTheme="majorHAnsi" w:cstheme="majorBidi"/>
      <w:i/>
      <w:iCs/>
      <w:color w:val="6C2085" w:themeColor="accent6"/>
      <w:sz w:val="32"/>
      <w:szCs w:val="32"/>
    </w:rPr>
  </w:style>
  <w:style w:type="character" w:customStyle="1" w:styleId="IntenseQuoteChar">
    <w:name w:val="Intense Quote Char"/>
    <w:basedOn w:val="DefaultParagraphFont"/>
    <w:link w:val="IntenseQuote"/>
    <w:uiPriority w:val="30"/>
    <w:rsid w:val="00057803"/>
    <w:rPr>
      <w:rFonts w:asciiTheme="majorHAnsi" w:eastAsiaTheme="majorEastAsia" w:hAnsiTheme="majorHAnsi" w:cstheme="majorBidi"/>
      <w:i/>
      <w:iCs/>
      <w:color w:val="6C2085" w:themeColor="accent6"/>
      <w:sz w:val="32"/>
      <w:szCs w:val="32"/>
    </w:rPr>
  </w:style>
  <w:style w:type="character" w:styleId="SubtleEmphasis">
    <w:name w:val="Subtle Emphasis"/>
    <w:basedOn w:val="DefaultParagraphFont"/>
    <w:uiPriority w:val="19"/>
    <w:qFormat/>
    <w:rsid w:val="00057803"/>
    <w:rPr>
      <w:i/>
      <w:iCs/>
    </w:rPr>
  </w:style>
  <w:style w:type="character" w:styleId="IntenseEmphasis">
    <w:name w:val="Intense Emphasis"/>
    <w:basedOn w:val="DefaultParagraphFont"/>
    <w:uiPriority w:val="21"/>
    <w:qFormat/>
    <w:rsid w:val="00057803"/>
    <w:rPr>
      <w:b/>
      <w:bCs/>
      <w:i/>
      <w:iCs/>
    </w:rPr>
  </w:style>
  <w:style w:type="character" w:styleId="SubtleReference">
    <w:name w:val="Subtle Reference"/>
    <w:basedOn w:val="DefaultParagraphFont"/>
    <w:uiPriority w:val="31"/>
    <w:qFormat/>
    <w:rsid w:val="00057803"/>
    <w:rPr>
      <w:smallCaps/>
      <w:color w:val="595959" w:themeColor="text1" w:themeTint="A6"/>
    </w:rPr>
  </w:style>
  <w:style w:type="character" w:styleId="IntenseReference">
    <w:name w:val="Intense Reference"/>
    <w:basedOn w:val="DefaultParagraphFont"/>
    <w:uiPriority w:val="32"/>
    <w:qFormat/>
    <w:rsid w:val="00057803"/>
    <w:rPr>
      <w:b/>
      <w:bCs/>
      <w:smallCaps/>
      <w:color w:val="6C2085" w:themeColor="accent6"/>
    </w:rPr>
  </w:style>
  <w:style w:type="character" w:styleId="BookTitle">
    <w:name w:val="Book Title"/>
    <w:basedOn w:val="DefaultParagraphFont"/>
    <w:uiPriority w:val="33"/>
    <w:qFormat/>
    <w:rsid w:val="00057803"/>
    <w:rPr>
      <w:b/>
      <w:bCs/>
      <w:caps w:val="0"/>
      <w:smallCaps/>
      <w:spacing w:val="7"/>
      <w:sz w:val="21"/>
      <w:szCs w:val="21"/>
    </w:rPr>
  </w:style>
  <w:style w:type="paragraph" w:styleId="TOCHeading">
    <w:name w:val="TOC Heading"/>
    <w:basedOn w:val="Heading1"/>
    <w:next w:val="Normal"/>
    <w:uiPriority w:val="39"/>
    <w:semiHidden/>
    <w:unhideWhenUsed/>
    <w:qFormat/>
    <w:rsid w:val="0005780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3976</Words>
  <Characters>22668</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Annual Report</vt:lpstr>
    </vt:vector>
  </TitlesOfParts>
  <Company/>
  <LinksUpToDate>false</LinksUpToDate>
  <CharactersWithSpaces>26591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Elizabeth Quintero</dc:creator>
  <cp:lastModifiedBy>Carole L. Hanley</cp:lastModifiedBy>
  <cp:revision>5</cp:revision>
  <cp:lastPrinted>2020-01-13T22:06:00Z</cp:lastPrinted>
  <dcterms:created xsi:type="dcterms:W3CDTF">2020-01-16T23:26:00Z</dcterms:created>
  <dcterms:modified xsi:type="dcterms:W3CDTF">2020-01-17T23:45:00Z</dcterms:modified>
</cp:coreProperties>
</file>