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4D" w:rsidRDefault="00AB074D" w:rsidP="00AB074D">
      <w:pPr>
        <w:jc w:val="center"/>
        <w:rPr>
          <w:b/>
          <w:bCs/>
          <w:sz w:val="28"/>
          <w:szCs w:val="28"/>
        </w:rPr>
      </w:pPr>
      <w:r w:rsidRPr="00B62337">
        <w:rPr>
          <w:b/>
          <w:bCs/>
          <w:sz w:val="28"/>
          <w:szCs w:val="28"/>
        </w:rPr>
        <w:t>State Plan to Address Alzheimer</w:t>
      </w:r>
      <w:r w:rsidR="00B62337" w:rsidRPr="00B62337">
        <w:rPr>
          <w:b/>
          <w:bCs/>
          <w:sz w:val="28"/>
          <w:szCs w:val="28"/>
        </w:rPr>
        <w:t>’</w:t>
      </w:r>
      <w:r w:rsidRPr="00B62337">
        <w:rPr>
          <w:b/>
          <w:bCs/>
          <w:sz w:val="28"/>
          <w:szCs w:val="28"/>
        </w:rPr>
        <w:t xml:space="preserve">s Disease </w:t>
      </w:r>
    </w:p>
    <w:p w:rsidR="00AB074D" w:rsidRPr="00B62337" w:rsidRDefault="00AB074D" w:rsidP="00AB074D">
      <w:pPr>
        <w:jc w:val="both"/>
      </w:pPr>
    </w:p>
    <w:p w:rsidR="00AB074D" w:rsidRPr="00B62337" w:rsidRDefault="00AB074D" w:rsidP="00AB074D">
      <w:pPr>
        <w:jc w:val="center"/>
      </w:pPr>
      <w:r w:rsidRPr="00B62337">
        <w:t xml:space="preserve">Legislative Committee on Health Care’s </w:t>
      </w:r>
    </w:p>
    <w:p w:rsidR="00AB074D" w:rsidRPr="00B62337" w:rsidRDefault="00AB074D" w:rsidP="00AB074D">
      <w:pPr>
        <w:jc w:val="center"/>
      </w:pPr>
      <w:r w:rsidRPr="00B62337">
        <w:t>Task Force to Develop a State Plan to Address Alzheimer’s Disease</w:t>
      </w:r>
    </w:p>
    <w:p w:rsidR="00B62337" w:rsidRPr="00B62337" w:rsidRDefault="00790F21" w:rsidP="00790F21">
      <w:pPr>
        <w:spacing w:after="120"/>
        <w:jc w:val="center"/>
        <w:rPr>
          <w:i/>
        </w:rPr>
      </w:pPr>
      <w:r>
        <w:rPr>
          <w:spacing w:val="3"/>
        </w:rPr>
        <w:t xml:space="preserve">Assembly Concurrent Resolution No. 10 </w:t>
      </w:r>
      <w:r w:rsidR="00FA2D62">
        <w:rPr>
          <w:spacing w:val="3"/>
        </w:rPr>
        <w:t>(File No. 42, Statu</w:t>
      </w:r>
      <w:r w:rsidR="00051EA3">
        <w:rPr>
          <w:spacing w:val="3"/>
        </w:rPr>
        <w:t>t</w:t>
      </w:r>
      <w:r w:rsidR="00FA2D62">
        <w:rPr>
          <w:spacing w:val="3"/>
        </w:rPr>
        <w:t>es of Nevada 2011)</w:t>
      </w:r>
    </w:p>
    <w:p w:rsidR="009C564F" w:rsidRPr="00B62337" w:rsidRDefault="00035BEF" w:rsidP="009C564F">
      <w:pPr>
        <w:jc w:val="center"/>
      </w:pPr>
      <w:r>
        <w:t>Revised November 2014</w:t>
      </w:r>
    </w:p>
    <w:p w:rsidR="00AB074D" w:rsidRPr="00B62337" w:rsidRDefault="00AB074D" w:rsidP="00AB074D">
      <w:pPr>
        <w:jc w:val="both"/>
      </w:pPr>
    </w:p>
    <w:p w:rsidR="00AB074D" w:rsidRDefault="00AB074D" w:rsidP="00AB074D">
      <w:pPr>
        <w:jc w:val="both"/>
        <w:rPr>
          <w:b/>
        </w:rPr>
      </w:pPr>
      <w:r w:rsidRPr="00B62337">
        <w:rPr>
          <w:b/>
        </w:rPr>
        <w:t>Executive Summary</w:t>
      </w:r>
    </w:p>
    <w:p w:rsidR="005E4A63" w:rsidRPr="00B62337" w:rsidRDefault="005E4A63" w:rsidP="00AB074D">
      <w:pPr>
        <w:jc w:val="both"/>
        <w:rPr>
          <w:b/>
        </w:rPr>
      </w:pPr>
    </w:p>
    <w:p w:rsidR="002E18D0" w:rsidRDefault="002E18D0" w:rsidP="00AB074D">
      <w:pPr>
        <w:jc w:val="both"/>
      </w:pPr>
      <w:r>
        <w:t>Following is a list of the recommendations approved by the Task Force for inclusion in the State Plan:</w:t>
      </w:r>
    </w:p>
    <w:p w:rsidR="002E18D0" w:rsidRDefault="002E18D0" w:rsidP="00AB074D">
      <w:pPr>
        <w:jc w:val="both"/>
      </w:pPr>
    </w:p>
    <w:p w:rsidR="0079068D" w:rsidRPr="00AB1E1B" w:rsidRDefault="0079068D" w:rsidP="001D6901">
      <w:pPr>
        <w:pStyle w:val="ListParagraph"/>
        <w:numPr>
          <w:ilvl w:val="0"/>
          <w:numId w:val="9"/>
        </w:numPr>
        <w:ind w:left="432" w:hanging="432"/>
        <w:jc w:val="both"/>
      </w:pPr>
      <w:r w:rsidRPr="0079068D">
        <w:rPr>
          <w:rFonts w:eastAsia="Calibri"/>
          <w:noProof/>
        </w:rPr>
        <w:t xml:space="preserve">Establish and fund a statewide information and referral system for those with Alzheimer’s </w:t>
      </w:r>
      <w:r w:rsidR="004B2DAF">
        <w:rPr>
          <w:rFonts w:eastAsia="Calibri"/>
          <w:noProof/>
        </w:rPr>
        <w:t>d</w:t>
      </w:r>
      <w:r w:rsidR="004B2DAF" w:rsidRPr="0079068D">
        <w:rPr>
          <w:rFonts w:eastAsia="Calibri"/>
          <w:noProof/>
        </w:rPr>
        <w:t xml:space="preserve">isease </w:t>
      </w:r>
      <w:r w:rsidRPr="0079068D">
        <w:rPr>
          <w:rFonts w:eastAsia="Calibri"/>
          <w:noProof/>
        </w:rPr>
        <w:t xml:space="preserve">and </w:t>
      </w:r>
      <w:r w:rsidR="00343F0D">
        <w:rPr>
          <w:rFonts w:eastAsia="Calibri"/>
          <w:noProof/>
        </w:rPr>
        <w:t>related disorders</w:t>
      </w:r>
      <w:r w:rsidRPr="0079068D">
        <w:rPr>
          <w:rFonts w:eastAsia="Calibri"/>
          <w:noProof/>
        </w:rPr>
        <w:t>, their caregivers, and their families</w:t>
      </w:r>
      <w:r w:rsidR="004B2DAF">
        <w:rPr>
          <w:rFonts w:eastAsia="Calibri"/>
          <w:noProof/>
        </w:rPr>
        <w:t xml:space="preserve"> to </w:t>
      </w:r>
      <w:r w:rsidRPr="0079068D">
        <w:rPr>
          <w:rFonts w:eastAsia="Calibri"/>
          <w:noProof/>
        </w:rPr>
        <w:t>enable them</w:t>
      </w:r>
      <w:r w:rsidRPr="00AB1E1B">
        <w:rPr>
          <w:rFonts w:eastAsia="Calibri"/>
          <w:noProof/>
        </w:rPr>
        <w:t xml:space="preserve"> to connect with local case management and support services, e.g., resource centers, such as </w:t>
      </w:r>
      <w:r w:rsidR="004B221A">
        <w:rPr>
          <w:rFonts w:eastAsia="Calibri"/>
          <w:noProof/>
        </w:rPr>
        <w:t>Nevada Aging and Disability Resource Center</w:t>
      </w:r>
      <w:r w:rsidR="006849EF">
        <w:rPr>
          <w:rFonts w:eastAsia="Calibri"/>
          <w:noProof/>
        </w:rPr>
        <w:t>s</w:t>
      </w:r>
      <w:r w:rsidR="00A30122">
        <w:rPr>
          <w:rFonts w:eastAsia="Calibri"/>
          <w:noProof/>
        </w:rPr>
        <w:t xml:space="preserve"> (ADRC)</w:t>
      </w:r>
      <w:r w:rsidRPr="00AB1E1B">
        <w:rPr>
          <w:rFonts w:eastAsia="Calibri"/>
          <w:noProof/>
        </w:rPr>
        <w:t>.</w:t>
      </w:r>
    </w:p>
    <w:p w:rsidR="00AB1E1B" w:rsidRPr="00AB1E1B" w:rsidRDefault="00AB1E1B" w:rsidP="00AB1E1B">
      <w:pPr>
        <w:pStyle w:val="ListParagraph"/>
        <w:ind w:left="360"/>
        <w:jc w:val="both"/>
      </w:pPr>
    </w:p>
    <w:p w:rsidR="0079068D" w:rsidRDefault="00F14EF1" w:rsidP="001D6901">
      <w:pPr>
        <w:pStyle w:val="ListParagraph"/>
        <w:numPr>
          <w:ilvl w:val="0"/>
          <w:numId w:val="9"/>
        </w:numPr>
        <w:ind w:left="432" w:hanging="432"/>
        <w:jc w:val="both"/>
        <w:rPr>
          <w:rFonts w:eastAsia="Cambria"/>
        </w:rPr>
      </w:pPr>
      <w:r>
        <w:rPr>
          <w:rFonts w:eastAsia="Cambria"/>
        </w:rPr>
        <w:t xml:space="preserve">Support AB170, passed in the 2013 Legislative Session, that authorizes Advance Practice Registered Nurses (APRNs) to have independent practices to provide better access to care, especially for rural elders.  In addition, the TFAD supports the connection between the APRNs and health care teams to provide ancillary services.  </w:t>
      </w:r>
      <w:r w:rsidR="0079068D" w:rsidRPr="0079068D">
        <w:rPr>
          <w:rFonts w:eastAsia="Cambria"/>
        </w:rPr>
        <w:t>Authorize nurse practitioners to have independent practices</w:t>
      </w:r>
      <w:r w:rsidR="009C55BD">
        <w:rPr>
          <w:rFonts w:eastAsia="Cambria"/>
        </w:rPr>
        <w:t xml:space="preserve"> </w:t>
      </w:r>
      <w:r w:rsidR="006849EF">
        <w:rPr>
          <w:rFonts w:eastAsia="Cambria"/>
        </w:rPr>
        <w:t>t</w:t>
      </w:r>
      <w:r w:rsidR="00401089" w:rsidRPr="0079068D">
        <w:rPr>
          <w:rFonts w:eastAsia="Cambria"/>
        </w:rPr>
        <w:t>o provide better access to care, especially for rural elders</w:t>
      </w:r>
      <w:r w:rsidR="006849EF">
        <w:rPr>
          <w:rFonts w:eastAsia="Cambria"/>
        </w:rPr>
        <w:t>.</w:t>
      </w:r>
      <w:r w:rsidR="00401089">
        <w:rPr>
          <w:rFonts w:eastAsia="Cambria"/>
        </w:rPr>
        <w:t xml:space="preserve"> </w:t>
      </w:r>
      <w:r w:rsidR="006849EF">
        <w:rPr>
          <w:rFonts w:eastAsia="Cambria"/>
        </w:rPr>
        <w:t>S</w:t>
      </w:r>
      <w:r w:rsidR="00B509C7">
        <w:rPr>
          <w:rFonts w:eastAsia="Cambria"/>
        </w:rPr>
        <w:t>tates</w:t>
      </w:r>
      <w:r w:rsidR="0079068D" w:rsidRPr="0079068D">
        <w:rPr>
          <w:rFonts w:eastAsia="Cambria"/>
        </w:rPr>
        <w:t xml:space="preserve"> such as Arizona, Idaho, Oregon, and Wyoming</w:t>
      </w:r>
      <w:r w:rsidR="00B509C7">
        <w:rPr>
          <w:rFonts w:eastAsia="Cambria"/>
        </w:rPr>
        <w:t xml:space="preserve"> </w:t>
      </w:r>
      <w:r w:rsidR="00401089">
        <w:rPr>
          <w:rFonts w:eastAsia="Cambria"/>
        </w:rPr>
        <w:t>currently authorize such independent practices.</w:t>
      </w:r>
    </w:p>
    <w:p w:rsidR="00AB1E1B" w:rsidRPr="0079068D" w:rsidRDefault="00AB1E1B" w:rsidP="00AB1E1B">
      <w:pPr>
        <w:pStyle w:val="ListParagraph"/>
        <w:ind w:left="360"/>
        <w:jc w:val="both"/>
        <w:rPr>
          <w:rFonts w:eastAsia="Cambria"/>
        </w:rPr>
      </w:pPr>
    </w:p>
    <w:p w:rsidR="00AB1E1B" w:rsidRPr="00AB1E1B" w:rsidRDefault="00AB1E1B" w:rsidP="001D6901">
      <w:pPr>
        <w:pStyle w:val="ListParagraph"/>
        <w:numPr>
          <w:ilvl w:val="0"/>
          <w:numId w:val="9"/>
        </w:numPr>
        <w:ind w:left="432" w:hanging="432"/>
        <w:jc w:val="both"/>
      </w:pPr>
      <w:r w:rsidRPr="00B62337">
        <w:rPr>
          <w:rFonts w:eastAsia="Calibri"/>
        </w:rPr>
        <w:t>Examine</w:t>
      </w:r>
      <w:r w:rsidR="005A0FBE">
        <w:rPr>
          <w:rFonts w:eastAsia="Calibri"/>
        </w:rPr>
        <w:t xml:space="preserve"> and identify</w:t>
      </w:r>
      <w:r w:rsidRPr="00B62337">
        <w:rPr>
          <w:rFonts w:eastAsia="Calibri"/>
        </w:rPr>
        <w:t xml:space="preserve"> funding streams to develop </w:t>
      </w:r>
      <w:r w:rsidR="005A0FBE">
        <w:rPr>
          <w:rFonts w:eastAsia="Calibri"/>
        </w:rPr>
        <w:t>and facilitate</w:t>
      </w:r>
      <w:r w:rsidRPr="00B62337">
        <w:rPr>
          <w:rFonts w:eastAsia="Calibri"/>
        </w:rPr>
        <w:t xml:space="preserve"> </w:t>
      </w:r>
      <w:r w:rsidR="005A0FBE">
        <w:rPr>
          <w:rFonts w:eastAsia="Calibri"/>
        </w:rPr>
        <w:t xml:space="preserve">the full spectrum of </w:t>
      </w:r>
      <w:r w:rsidR="00F14EF1">
        <w:rPr>
          <w:rFonts w:eastAsia="Calibri"/>
        </w:rPr>
        <w:t>T</w:t>
      </w:r>
      <w:r w:rsidR="00FE03C8">
        <w:rPr>
          <w:rFonts w:eastAsia="Calibri"/>
        </w:rPr>
        <w:t>elehealth</w:t>
      </w:r>
      <w:r w:rsidR="00FE03C8" w:rsidRPr="00B62337">
        <w:rPr>
          <w:rFonts w:eastAsia="Calibri"/>
        </w:rPr>
        <w:t xml:space="preserve"> </w:t>
      </w:r>
      <w:r w:rsidR="005A0FBE">
        <w:rPr>
          <w:rFonts w:eastAsia="Calibri"/>
        </w:rPr>
        <w:t xml:space="preserve">services </w:t>
      </w:r>
      <w:r w:rsidRPr="00B62337">
        <w:rPr>
          <w:rFonts w:eastAsia="Calibri"/>
        </w:rPr>
        <w:t>to rural communities</w:t>
      </w:r>
      <w:r w:rsidR="005A0FBE">
        <w:rPr>
          <w:rFonts w:eastAsia="Calibri"/>
        </w:rPr>
        <w:t>, including training for providers in rural areas</w:t>
      </w:r>
      <w:r w:rsidRPr="00B62337">
        <w:rPr>
          <w:rFonts w:eastAsia="Calibri"/>
        </w:rPr>
        <w:t>.</w:t>
      </w:r>
      <w:r w:rsidRPr="00AB1E1B">
        <w:rPr>
          <w:rFonts w:eastAsia="Cambria"/>
          <w:spacing w:val="-4"/>
        </w:rPr>
        <w:t xml:space="preserve"> </w:t>
      </w:r>
    </w:p>
    <w:p w:rsidR="00AB1E1B" w:rsidRPr="00AB1E1B" w:rsidRDefault="00AB1E1B" w:rsidP="001D6901">
      <w:pPr>
        <w:pStyle w:val="ListParagraph"/>
        <w:ind w:left="360"/>
        <w:jc w:val="both"/>
      </w:pPr>
    </w:p>
    <w:p w:rsidR="00BE141F" w:rsidRPr="00F87176" w:rsidRDefault="000216DB" w:rsidP="001D6901">
      <w:pPr>
        <w:pStyle w:val="ListParagraph"/>
        <w:numPr>
          <w:ilvl w:val="0"/>
          <w:numId w:val="9"/>
        </w:numPr>
        <w:ind w:left="432" w:hanging="432"/>
        <w:jc w:val="both"/>
        <w:rPr>
          <w:rFonts w:eastAsia="Calibri"/>
          <w:noProof/>
        </w:rPr>
      </w:pPr>
      <w:r w:rsidRPr="000216DB">
        <w:rPr>
          <w:rFonts w:eastAsia="Cambria"/>
          <w:spacing w:val="-4"/>
        </w:rPr>
        <w:t xml:space="preserve">Support NRS provisions, including those defined in AB86 of the 2013 Legislative Session, that remove age barriers that typically keep people with younger-onset Alzheimer’s disease and related disorders from receiving services that are only available to seniors (disability services, legal services, meals, respite, and ‘continuum of life’ programs, such as assisted living services).  Continue to monitor the NRS provisions, related to these populations—and other provisions included in the Older Americans Act –which affect eligibility requirements for services to allow family caregivers of a person with Alzheimer’s disease or other dementia to be served, regardless of the age of the person with dementia. In addition the TFAD supports the Care Act which will help family caregivers when those they care for are hospitalized.  </w:t>
      </w:r>
    </w:p>
    <w:p w:rsidR="00BE141F" w:rsidRDefault="00BE141F" w:rsidP="001D6901">
      <w:pPr>
        <w:jc w:val="both"/>
        <w:rPr>
          <w:rFonts w:eastAsia="Calibri"/>
          <w:noProof/>
        </w:rPr>
      </w:pPr>
    </w:p>
    <w:p w:rsidR="00BE141F" w:rsidRPr="005E4A63" w:rsidRDefault="0080326E" w:rsidP="001D6901">
      <w:pPr>
        <w:pStyle w:val="ListParagraph"/>
        <w:numPr>
          <w:ilvl w:val="0"/>
          <w:numId w:val="9"/>
        </w:numPr>
        <w:ind w:left="432" w:hanging="432"/>
        <w:jc w:val="both"/>
        <w:rPr>
          <w:rFonts w:eastAsia="Cambria"/>
        </w:rPr>
      </w:pPr>
      <w:r w:rsidRPr="0080326E">
        <w:rPr>
          <w:rFonts w:eastAsia="Calibri"/>
          <w:noProof/>
        </w:rPr>
        <w:t>Conduct a needs assessment to better understand the experiences and needs of Nevada’s minority communities</w:t>
      </w:r>
      <w:r w:rsidR="00035BEF">
        <w:rPr>
          <w:rFonts w:eastAsia="Calibri"/>
          <w:noProof/>
        </w:rPr>
        <w:t>.</w:t>
      </w:r>
      <w:r w:rsidR="00BE141F" w:rsidRPr="007A0B43">
        <w:rPr>
          <w:rFonts w:eastAsia="Calibri"/>
          <w:noProof/>
        </w:rPr>
        <w:t xml:space="preserve">  </w:t>
      </w:r>
    </w:p>
    <w:p w:rsidR="005E4A63" w:rsidRPr="005E4A63" w:rsidRDefault="005E4A63" w:rsidP="001D6901">
      <w:pPr>
        <w:jc w:val="both"/>
        <w:rPr>
          <w:rFonts w:eastAsia="Cambria"/>
        </w:rPr>
      </w:pPr>
    </w:p>
    <w:p w:rsidR="007A0B43" w:rsidRDefault="007A0B43" w:rsidP="001D6901">
      <w:pPr>
        <w:pStyle w:val="ListParagraph"/>
        <w:numPr>
          <w:ilvl w:val="0"/>
          <w:numId w:val="9"/>
        </w:numPr>
        <w:ind w:left="432" w:hanging="432"/>
        <w:jc w:val="both"/>
        <w:rPr>
          <w:rFonts w:eastAsia="Calibri"/>
        </w:rPr>
      </w:pPr>
      <w:r w:rsidRPr="00CF7027">
        <w:rPr>
          <w:rFonts w:eastAsia="Calibri"/>
          <w:spacing w:val="-6"/>
        </w:rPr>
        <w:t xml:space="preserve">Address affordability of services for persons with Alzheimer’s </w:t>
      </w:r>
      <w:r w:rsidR="00B509C7" w:rsidRPr="00CF7027">
        <w:rPr>
          <w:rFonts w:eastAsia="Calibri"/>
          <w:spacing w:val="-6"/>
        </w:rPr>
        <w:t>d</w:t>
      </w:r>
      <w:r w:rsidRPr="00CF7027">
        <w:rPr>
          <w:rFonts w:eastAsia="Calibri"/>
          <w:spacing w:val="-6"/>
        </w:rPr>
        <w:t xml:space="preserve">isease and </w:t>
      </w:r>
      <w:r w:rsidR="00F41BAF" w:rsidRPr="00CF7027">
        <w:rPr>
          <w:rFonts w:eastAsia="Calibri"/>
          <w:spacing w:val="-6"/>
        </w:rPr>
        <w:t xml:space="preserve">related </w:t>
      </w:r>
      <w:r w:rsidR="00035BEF">
        <w:rPr>
          <w:rFonts w:eastAsia="Calibri"/>
          <w:spacing w:val="-6"/>
        </w:rPr>
        <w:t xml:space="preserve">disorders </w:t>
      </w:r>
      <w:r w:rsidRPr="00CF7027">
        <w:rPr>
          <w:rFonts w:eastAsia="Calibri"/>
          <w:spacing w:val="-6"/>
        </w:rPr>
        <w:t>and</w:t>
      </w:r>
      <w:r w:rsidR="008B67F2">
        <w:rPr>
          <w:rFonts w:eastAsia="Calibri"/>
          <w:spacing w:val="-6"/>
        </w:rPr>
        <w:t xml:space="preserve"> explore</w:t>
      </w:r>
      <w:r w:rsidR="00100286">
        <w:rPr>
          <w:rFonts w:eastAsia="Calibri"/>
          <w:spacing w:val="-6"/>
        </w:rPr>
        <w:t xml:space="preserve"> </w:t>
      </w:r>
      <w:r w:rsidRPr="00CF7027">
        <w:rPr>
          <w:rFonts w:eastAsia="Calibri"/>
          <w:spacing w:val="-6"/>
        </w:rPr>
        <w:t>other cost-sharing mechanisms</w:t>
      </w:r>
      <w:r w:rsidRPr="007A0B43">
        <w:rPr>
          <w:rFonts w:eastAsia="Calibri"/>
        </w:rPr>
        <w:t>.</w:t>
      </w:r>
    </w:p>
    <w:p w:rsidR="00790141" w:rsidRPr="00790141" w:rsidRDefault="00790141" w:rsidP="00790141">
      <w:pPr>
        <w:pStyle w:val="ListParagraph"/>
        <w:rPr>
          <w:rFonts w:eastAsia="Calibri"/>
        </w:rPr>
      </w:pPr>
    </w:p>
    <w:p w:rsidR="00790141" w:rsidRDefault="00790141" w:rsidP="00790141">
      <w:pPr>
        <w:pStyle w:val="ListParagraph"/>
        <w:ind w:left="432"/>
        <w:jc w:val="both"/>
        <w:rPr>
          <w:rFonts w:eastAsia="Calibri"/>
        </w:rPr>
      </w:pPr>
    </w:p>
    <w:p w:rsidR="007F1299" w:rsidRPr="0073033C" w:rsidRDefault="00AE63CC" w:rsidP="0073033C">
      <w:pPr>
        <w:pStyle w:val="ListParagraph"/>
        <w:numPr>
          <w:ilvl w:val="0"/>
          <w:numId w:val="9"/>
        </w:numPr>
        <w:jc w:val="both"/>
        <w:rPr>
          <w:rFonts w:eastAsia="Calibri"/>
        </w:rPr>
      </w:pPr>
      <w:r w:rsidRPr="00B62337">
        <w:lastRenderedPageBreak/>
        <w:t xml:space="preserve">Establish a </w:t>
      </w:r>
      <w:r>
        <w:t xml:space="preserve">Nevada </w:t>
      </w:r>
      <w:r w:rsidRPr="00B62337">
        <w:t xml:space="preserve">consortium to </w:t>
      </w:r>
      <w:r w:rsidR="0046655B">
        <w:t xml:space="preserve">promote </w:t>
      </w:r>
      <w:r>
        <w:t xml:space="preserve">current and future </w:t>
      </w:r>
      <w:r w:rsidRPr="00B62337">
        <w:t xml:space="preserve">research </w:t>
      </w:r>
      <w:r>
        <w:t>in our State</w:t>
      </w:r>
      <w:r w:rsidR="0046655B">
        <w:t>.</w:t>
      </w:r>
      <w:r w:rsidRPr="00B62337">
        <w:t xml:space="preserve"> </w:t>
      </w:r>
      <w:r w:rsidR="0046655B">
        <w:rPr>
          <w:rFonts w:eastAsia="Calibri"/>
        </w:rPr>
        <w:t xml:space="preserve"> Develop a specific Alzheimer’s research website that contains information about current research and a registry that allows individuals to register to participate in clinical research.</w:t>
      </w:r>
    </w:p>
    <w:p w:rsidR="004B221A" w:rsidRDefault="004B221A" w:rsidP="001D6901">
      <w:pPr>
        <w:pStyle w:val="ListParagraph"/>
        <w:ind w:left="360"/>
        <w:rPr>
          <w:rFonts w:eastAsiaTheme="minorHAnsi"/>
          <w:noProof/>
        </w:rPr>
      </w:pPr>
    </w:p>
    <w:p w:rsidR="005A5A0F" w:rsidRPr="005A5A0F" w:rsidRDefault="005A5A0F" w:rsidP="001D6901">
      <w:pPr>
        <w:pStyle w:val="ListParagraph"/>
        <w:widowControl w:val="0"/>
        <w:numPr>
          <w:ilvl w:val="0"/>
          <w:numId w:val="9"/>
        </w:numPr>
        <w:autoSpaceDE w:val="0"/>
        <w:autoSpaceDN w:val="0"/>
        <w:adjustRightInd w:val="0"/>
        <w:ind w:left="432" w:hanging="432"/>
        <w:jc w:val="both"/>
        <w:rPr>
          <w:u w:val="single"/>
        </w:rPr>
      </w:pPr>
      <w:r>
        <w:t xml:space="preserve">Improve policies and procedures for hospital care for patients with Alzheimer’s disease by encouraging the adoption of specialized care pathways.  Encourage the Nevada Hospital Association, in collaboration with subject matter experts from the Alzheimer’s Association, research, and educational organizations, to develop a care plan for the management of patients with cognitive impairment entering the hospital. </w:t>
      </w:r>
    </w:p>
    <w:p w:rsidR="00822352" w:rsidRDefault="00822352">
      <w:pPr>
        <w:pStyle w:val="ListParagraph"/>
      </w:pPr>
    </w:p>
    <w:p w:rsidR="004B5ECA" w:rsidRPr="004B5ECA" w:rsidRDefault="00E3589E" w:rsidP="001D6901">
      <w:pPr>
        <w:pStyle w:val="ListParagraph"/>
        <w:widowControl w:val="0"/>
        <w:numPr>
          <w:ilvl w:val="0"/>
          <w:numId w:val="9"/>
        </w:numPr>
        <w:autoSpaceDE w:val="0"/>
        <w:autoSpaceDN w:val="0"/>
        <w:adjustRightInd w:val="0"/>
        <w:ind w:left="432" w:hanging="432"/>
        <w:jc w:val="both"/>
        <w:rPr>
          <w:u w:val="single"/>
        </w:rPr>
      </w:pPr>
      <w:r>
        <w:t>Continue to r</w:t>
      </w:r>
      <w:r w:rsidR="004B5ECA">
        <w:t xml:space="preserve">eview current funding and </w:t>
      </w:r>
      <w:r w:rsidR="004F20D8">
        <w:t xml:space="preserve">potential </w:t>
      </w:r>
      <w:r w:rsidR="004B5ECA">
        <w:t>funding streams to support the development of quality long</w:t>
      </w:r>
      <w:r w:rsidR="00EA1F36">
        <w:noBreakHyphen/>
      </w:r>
      <w:r w:rsidR="004B5ECA">
        <w:t xml:space="preserve">term care facilities in Nevada.  </w:t>
      </w:r>
      <w:r w:rsidR="004B5ECA" w:rsidRPr="00B62337">
        <w:t>Provide funding or incentives to encourage long</w:t>
      </w:r>
      <w:r w:rsidR="004B5ECA">
        <w:t>-</w:t>
      </w:r>
      <w:r w:rsidR="004B5ECA" w:rsidRPr="00B62337">
        <w:t xml:space="preserve">term care organizations to </w:t>
      </w:r>
      <w:r w:rsidR="003708F9">
        <w:t>develop</w:t>
      </w:r>
      <w:r w:rsidR="004B5ECA" w:rsidRPr="00B62337">
        <w:t xml:space="preserve"> facilities </w:t>
      </w:r>
      <w:r w:rsidR="00AB0F27">
        <w:t>and to</w:t>
      </w:r>
      <w:r w:rsidR="004B5ECA">
        <w:t xml:space="preserve"> </w:t>
      </w:r>
      <w:r w:rsidR="004B5ECA" w:rsidRPr="00B62337">
        <w:t xml:space="preserve">encourage existing facilities to increase capacity for placement of individuals with Alzheimer’s </w:t>
      </w:r>
      <w:r w:rsidR="004B5ECA">
        <w:t>d</w:t>
      </w:r>
      <w:r w:rsidR="004B5ECA" w:rsidRPr="00B62337">
        <w:t xml:space="preserve">isease and </w:t>
      </w:r>
      <w:r w:rsidR="00C559A1">
        <w:t>related disorders</w:t>
      </w:r>
      <w:r>
        <w:t xml:space="preserve"> with an emphasis on person-centered planning and initiatives</w:t>
      </w:r>
      <w:r w:rsidR="004B5ECA" w:rsidRPr="00B62337">
        <w:t xml:space="preserve">. </w:t>
      </w:r>
      <w:r w:rsidR="004B5ECA">
        <w:t xml:space="preserve"> </w:t>
      </w:r>
    </w:p>
    <w:p w:rsidR="004B221A" w:rsidRDefault="004B221A" w:rsidP="001D6901">
      <w:pPr>
        <w:rPr>
          <w:u w:val="single"/>
        </w:rPr>
      </w:pPr>
    </w:p>
    <w:p w:rsidR="007A0B43" w:rsidRPr="007A0B43" w:rsidRDefault="008F61F3" w:rsidP="001D6901">
      <w:pPr>
        <w:pStyle w:val="ListParagraph"/>
        <w:widowControl w:val="0"/>
        <w:numPr>
          <w:ilvl w:val="0"/>
          <w:numId w:val="9"/>
        </w:numPr>
        <w:autoSpaceDE w:val="0"/>
        <w:autoSpaceDN w:val="0"/>
        <w:adjustRightInd w:val="0"/>
        <w:ind w:left="432" w:hanging="432"/>
        <w:jc w:val="both"/>
        <w:rPr>
          <w:u w:val="single"/>
        </w:rPr>
      </w:pPr>
      <w:r>
        <w:t>Reduce</w:t>
      </w:r>
      <w:r w:rsidRPr="00B62337">
        <w:t xml:space="preserve"> </w:t>
      </w:r>
      <w:r w:rsidR="007A0B43" w:rsidRPr="00B62337">
        <w:t>the need for out-of-state placements in Nevada by:</w:t>
      </w:r>
    </w:p>
    <w:p w:rsidR="007A0B43" w:rsidRPr="00B62337" w:rsidRDefault="007A0B43" w:rsidP="001D6901">
      <w:pPr>
        <w:pStyle w:val="ListParagraph"/>
        <w:jc w:val="both"/>
      </w:pPr>
    </w:p>
    <w:p w:rsidR="00984361" w:rsidRPr="00016C6F" w:rsidRDefault="00984361" w:rsidP="00984361">
      <w:pPr>
        <w:numPr>
          <w:ilvl w:val="0"/>
          <w:numId w:val="15"/>
        </w:numPr>
        <w:tabs>
          <w:tab w:val="left" w:pos="360"/>
          <w:tab w:val="left" w:pos="720"/>
          <w:tab w:val="left" w:pos="1080"/>
        </w:tabs>
        <w:jc w:val="both"/>
        <w:rPr>
          <w:iCs/>
        </w:rPr>
      </w:pPr>
      <w:r w:rsidRPr="00016C6F">
        <w:rPr>
          <w:iCs/>
        </w:rPr>
        <w:t xml:space="preserve">Preventing the conditions that lead to the development of challenging behaviors </w:t>
      </w:r>
      <w:r w:rsidR="00DC22E8" w:rsidRPr="00016C6F">
        <w:rPr>
          <w:iCs/>
        </w:rPr>
        <w:t>and increase</w:t>
      </w:r>
      <w:r w:rsidRPr="00016C6F">
        <w:rPr>
          <w:iCs/>
        </w:rPr>
        <w:t xml:space="preserve"> the risk of out of state placement by creating a clearinghouse for information on evidence-based, patient-centered approaches to promoting the behavioral health and quality of life of individuals with Alzheimer’s disease and related disorders and their family caregivers</w:t>
      </w:r>
      <w:r>
        <w:rPr>
          <w:iCs/>
        </w:rPr>
        <w:t>.</w:t>
      </w:r>
    </w:p>
    <w:p w:rsidR="00984361" w:rsidRPr="00016C6F" w:rsidRDefault="00984361" w:rsidP="00984361">
      <w:pPr>
        <w:tabs>
          <w:tab w:val="left" w:pos="360"/>
          <w:tab w:val="left" w:pos="720"/>
          <w:tab w:val="left" w:pos="1080"/>
        </w:tabs>
        <w:jc w:val="both"/>
        <w:rPr>
          <w:iCs/>
        </w:rPr>
      </w:pPr>
    </w:p>
    <w:p w:rsidR="00984361" w:rsidRPr="00016C6F" w:rsidRDefault="00984361" w:rsidP="00984361">
      <w:pPr>
        <w:numPr>
          <w:ilvl w:val="0"/>
          <w:numId w:val="15"/>
        </w:numPr>
        <w:tabs>
          <w:tab w:val="left" w:pos="360"/>
          <w:tab w:val="left" w:pos="720"/>
          <w:tab w:val="left" w:pos="1080"/>
        </w:tabs>
        <w:jc w:val="both"/>
        <w:rPr>
          <w:iCs/>
        </w:rPr>
      </w:pPr>
      <w:r w:rsidRPr="00016C6F">
        <w:rPr>
          <w:iCs/>
        </w:rPr>
        <w:t xml:space="preserve">Initiating a public health information program to increase easy access to information on “optimal” care and quality of life, and expected vs. unexpected behavior change in persons with dementia when an individual has been diagnosed with a neurocognitive disorder </w:t>
      </w:r>
    </w:p>
    <w:p w:rsidR="00984361" w:rsidRPr="00016C6F" w:rsidRDefault="00984361" w:rsidP="00984361">
      <w:pPr>
        <w:tabs>
          <w:tab w:val="left" w:pos="360"/>
          <w:tab w:val="left" w:pos="720"/>
          <w:tab w:val="left" w:pos="1080"/>
        </w:tabs>
        <w:jc w:val="both"/>
        <w:rPr>
          <w:iCs/>
        </w:rPr>
      </w:pPr>
    </w:p>
    <w:p w:rsidR="00984361" w:rsidRPr="00016C6F" w:rsidRDefault="00984361" w:rsidP="00984361">
      <w:pPr>
        <w:numPr>
          <w:ilvl w:val="0"/>
          <w:numId w:val="15"/>
        </w:numPr>
        <w:tabs>
          <w:tab w:val="left" w:pos="360"/>
          <w:tab w:val="left" w:pos="720"/>
          <w:tab w:val="left" w:pos="1080"/>
        </w:tabs>
        <w:jc w:val="both"/>
        <w:rPr>
          <w:iCs/>
        </w:rPr>
      </w:pPr>
      <w:r w:rsidRPr="00016C6F">
        <w:rPr>
          <w:iCs/>
        </w:rPr>
        <w:t>Increasing the ability of family and professional caregivers (in primary, acute, and long-term care settings) to appropriately and effectively respond to behavior change in persons with neurocognitive disorders through education and guided practice by experts in evidence based methods of behavioral health</w:t>
      </w:r>
      <w:r>
        <w:rPr>
          <w:iCs/>
        </w:rPr>
        <w:t>.</w:t>
      </w:r>
      <w:r w:rsidRPr="00016C6F">
        <w:rPr>
          <w:iCs/>
        </w:rPr>
        <w:t xml:space="preserve"> </w:t>
      </w:r>
    </w:p>
    <w:p w:rsidR="00984361" w:rsidRPr="00016C6F" w:rsidRDefault="00984361" w:rsidP="00984361">
      <w:pPr>
        <w:tabs>
          <w:tab w:val="left" w:pos="360"/>
          <w:tab w:val="left" w:pos="720"/>
          <w:tab w:val="left" w:pos="1080"/>
        </w:tabs>
        <w:jc w:val="both"/>
        <w:rPr>
          <w:iCs/>
        </w:rPr>
      </w:pPr>
    </w:p>
    <w:p w:rsidR="00984361" w:rsidRDefault="00984361" w:rsidP="00984361">
      <w:pPr>
        <w:numPr>
          <w:ilvl w:val="0"/>
          <w:numId w:val="15"/>
        </w:numPr>
        <w:tabs>
          <w:tab w:val="left" w:pos="360"/>
          <w:tab w:val="left" w:pos="720"/>
          <w:tab w:val="left" w:pos="1080"/>
        </w:tabs>
        <w:jc w:val="both"/>
        <w:rPr>
          <w:iCs/>
        </w:rPr>
      </w:pPr>
      <w:r w:rsidRPr="005E6566">
        <w:rPr>
          <w:iCs/>
        </w:rPr>
        <w:t xml:space="preserve">Using a higher reimbursement rate as an incentive for facilities to provide specialized care. </w:t>
      </w:r>
    </w:p>
    <w:p w:rsidR="00984361" w:rsidRDefault="00984361" w:rsidP="00984361">
      <w:pPr>
        <w:pStyle w:val="ListParagraph"/>
        <w:rPr>
          <w:iCs/>
        </w:rPr>
      </w:pPr>
    </w:p>
    <w:p w:rsidR="00984361" w:rsidRDefault="00984361" w:rsidP="00984361">
      <w:pPr>
        <w:numPr>
          <w:ilvl w:val="0"/>
          <w:numId w:val="15"/>
        </w:numPr>
        <w:tabs>
          <w:tab w:val="left" w:pos="360"/>
          <w:tab w:val="left" w:pos="720"/>
          <w:tab w:val="left" w:pos="1080"/>
        </w:tabs>
        <w:jc w:val="both"/>
        <w:rPr>
          <w:iCs/>
        </w:rPr>
      </w:pPr>
      <w:r w:rsidRPr="005E6566">
        <w:rPr>
          <w:iCs/>
        </w:rPr>
        <w:t>Developing mobile individuals or teams that respond to and evaluate persons in need of specialized interventions.  These multidisciplinary teams or individuals evaluate the person with dementia, provide assessment, and give training to staff and family members before the person with dementia moves into a catastrophic situation.</w:t>
      </w:r>
    </w:p>
    <w:p w:rsidR="00984361" w:rsidRDefault="00984361" w:rsidP="00984361">
      <w:pPr>
        <w:pStyle w:val="ListParagraph"/>
        <w:rPr>
          <w:iCs/>
        </w:rPr>
      </w:pPr>
    </w:p>
    <w:p w:rsidR="00984361" w:rsidRDefault="00984361" w:rsidP="00984361">
      <w:pPr>
        <w:numPr>
          <w:ilvl w:val="0"/>
          <w:numId w:val="15"/>
        </w:numPr>
        <w:tabs>
          <w:tab w:val="left" w:pos="360"/>
          <w:tab w:val="left" w:pos="720"/>
          <w:tab w:val="left" w:pos="1080"/>
        </w:tabs>
        <w:jc w:val="both"/>
        <w:rPr>
          <w:iCs/>
        </w:rPr>
      </w:pPr>
      <w:r w:rsidRPr="005E6566">
        <w:rPr>
          <w:iCs/>
        </w:rPr>
        <w:t>Developing plans for more adequate placement of individuals with Alzheimer’s disease and related disorders</w:t>
      </w:r>
      <w:r>
        <w:rPr>
          <w:iCs/>
        </w:rPr>
        <w:t>.</w:t>
      </w:r>
    </w:p>
    <w:p w:rsidR="00984361" w:rsidRDefault="00984361" w:rsidP="00984361">
      <w:pPr>
        <w:pStyle w:val="ListParagraph"/>
        <w:rPr>
          <w:iCs/>
        </w:rPr>
      </w:pPr>
    </w:p>
    <w:p w:rsidR="00822352" w:rsidRDefault="00984361">
      <w:pPr>
        <w:numPr>
          <w:ilvl w:val="0"/>
          <w:numId w:val="15"/>
        </w:numPr>
        <w:tabs>
          <w:tab w:val="left" w:pos="360"/>
          <w:tab w:val="left" w:pos="720"/>
          <w:tab w:val="left" w:pos="1080"/>
        </w:tabs>
        <w:jc w:val="both"/>
        <w:rPr>
          <w:iCs/>
        </w:rPr>
      </w:pPr>
      <w:r w:rsidRPr="005E6566">
        <w:rPr>
          <w:iCs/>
        </w:rPr>
        <w:lastRenderedPageBreak/>
        <w:t>Reviewing regulatory measures that may serve as barriers to facilities that are willing to provide care to persons with dementia</w:t>
      </w:r>
      <w:r>
        <w:rPr>
          <w:iCs/>
        </w:rPr>
        <w:t>.</w:t>
      </w:r>
    </w:p>
    <w:p w:rsidR="00822352" w:rsidRDefault="00822352">
      <w:pPr>
        <w:pStyle w:val="ListParagraph"/>
        <w:rPr>
          <w:iCs/>
        </w:rPr>
      </w:pPr>
    </w:p>
    <w:p w:rsidR="00822352" w:rsidRDefault="00984361">
      <w:pPr>
        <w:numPr>
          <w:ilvl w:val="0"/>
          <w:numId w:val="15"/>
        </w:numPr>
        <w:tabs>
          <w:tab w:val="left" w:pos="360"/>
          <w:tab w:val="left" w:pos="720"/>
          <w:tab w:val="left" w:pos="1080"/>
        </w:tabs>
        <w:jc w:val="both"/>
        <w:rPr>
          <w:iCs/>
        </w:rPr>
      </w:pPr>
      <w:r w:rsidRPr="00984361">
        <w:rPr>
          <w:iCs/>
        </w:rPr>
        <w:t xml:space="preserve">Investigating the feasibility of having specialized units in facilities in Nevada that specialize in dementia care for individuals with </w:t>
      </w:r>
      <w:commentRangeStart w:id="0"/>
      <w:r w:rsidRPr="00984361">
        <w:rPr>
          <w:iCs/>
        </w:rPr>
        <w:t>challenging behavioral</w:t>
      </w:r>
      <w:commentRangeEnd w:id="0"/>
      <w:r w:rsidR="00035BEF">
        <w:rPr>
          <w:rStyle w:val="CommentReference"/>
        </w:rPr>
        <w:commentReference w:id="0"/>
      </w:r>
      <w:r w:rsidRPr="00984361">
        <w:rPr>
          <w:iCs/>
        </w:rPr>
        <w:t xml:space="preserve"> issues.</w:t>
      </w:r>
    </w:p>
    <w:p w:rsidR="00822352" w:rsidRDefault="00822352">
      <w:pPr>
        <w:tabs>
          <w:tab w:val="left" w:pos="360"/>
          <w:tab w:val="left" w:pos="720"/>
          <w:tab w:val="left" w:pos="1080"/>
        </w:tabs>
        <w:jc w:val="both"/>
        <w:rPr>
          <w:iCs/>
        </w:rPr>
      </w:pPr>
    </w:p>
    <w:p w:rsidR="007A0B43" w:rsidRDefault="007A0B43" w:rsidP="001D6901">
      <w:pPr>
        <w:pStyle w:val="ListParagraph"/>
        <w:numPr>
          <w:ilvl w:val="0"/>
          <w:numId w:val="11"/>
        </w:numPr>
        <w:tabs>
          <w:tab w:val="left" w:pos="720"/>
        </w:tabs>
        <w:ind w:left="1080"/>
        <w:jc w:val="both"/>
      </w:pPr>
      <w:r w:rsidRPr="00B62337">
        <w:t xml:space="preserve">   </w:t>
      </w:r>
    </w:p>
    <w:p w:rsidR="00D246BB" w:rsidRPr="00B62337" w:rsidRDefault="00D246BB" w:rsidP="001D6901">
      <w:pPr>
        <w:ind w:left="720"/>
        <w:jc w:val="both"/>
      </w:pPr>
    </w:p>
    <w:p w:rsidR="00F87176" w:rsidRDefault="00F87176" w:rsidP="00964EE2">
      <w:pPr>
        <w:pStyle w:val="ListParagraph"/>
        <w:keepNext/>
        <w:keepLines/>
        <w:numPr>
          <w:ilvl w:val="0"/>
          <w:numId w:val="9"/>
        </w:numPr>
        <w:ind w:left="432" w:hanging="432"/>
        <w:jc w:val="both"/>
        <w:rPr>
          <w:rFonts w:eastAsiaTheme="minorHAnsi"/>
        </w:rPr>
      </w:pPr>
      <w:r w:rsidRPr="00B62337">
        <w:rPr>
          <w:rFonts w:eastAsiaTheme="minorHAnsi"/>
        </w:rPr>
        <w:t>Encourage the Board of Medical Examiners</w:t>
      </w:r>
      <w:r w:rsidR="007C0B45">
        <w:rPr>
          <w:rFonts w:eastAsiaTheme="minorHAnsi"/>
        </w:rPr>
        <w:t xml:space="preserve">, the </w:t>
      </w:r>
      <w:r w:rsidRPr="00B62337">
        <w:rPr>
          <w:rStyle w:val="Strong"/>
          <w:rFonts w:eastAsiaTheme="majorEastAsia"/>
          <w:b w:val="0"/>
        </w:rPr>
        <w:t>State Board of Osteopathic Medicine</w:t>
      </w:r>
      <w:r w:rsidR="007C0B45">
        <w:rPr>
          <w:rStyle w:val="Strong"/>
          <w:rFonts w:eastAsiaTheme="majorEastAsia"/>
          <w:b w:val="0"/>
        </w:rPr>
        <w:t>, professional associations, and educational institutions</w:t>
      </w:r>
      <w:r w:rsidRPr="00B62337">
        <w:rPr>
          <w:rStyle w:val="Strong"/>
          <w:rFonts w:eastAsiaTheme="majorEastAsia"/>
          <w:b w:val="0"/>
        </w:rPr>
        <w:t xml:space="preserve"> </w:t>
      </w:r>
      <w:r w:rsidRPr="00B62337">
        <w:rPr>
          <w:rFonts w:eastAsiaTheme="minorHAnsi"/>
        </w:rPr>
        <w:t>to</w:t>
      </w:r>
      <w:r w:rsidR="007C0B45">
        <w:rPr>
          <w:rFonts w:eastAsiaTheme="minorHAnsi"/>
        </w:rPr>
        <w:t xml:space="preserve"> promote awareness and education to health</w:t>
      </w:r>
      <w:r w:rsidR="00D55163">
        <w:rPr>
          <w:rFonts w:eastAsiaTheme="minorHAnsi"/>
        </w:rPr>
        <w:t xml:space="preserve"> </w:t>
      </w:r>
      <w:r w:rsidR="007C0B45">
        <w:rPr>
          <w:rFonts w:eastAsiaTheme="minorHAnsi"/>
        </w:rPr>
        <w:t>care providers by</w:t>
      </w:r>
      <w:r w:rsidRPr="00B62337">
        <w:rPr>
          <w:rFonts w:eastAsiaTheme="minorHAnsi"/>
        </w:rPr>
        <w:t>:</w:t>
      </w:r>
    </w:p>
    <w:p w:rsidR="00F87176" w:rsidRPr="00B62337" w:rsidRDefault="00F87176" w:rsidP="00964EE2">
      <w:pPr>
        <w:pStyle w:val="ListParagraph"/>
        <w:keepNext/>
        <w:keepLines/>
        <w:ind w:left="360"/>
        <w:jc w:val="both"/>
        <w:rPr>
          <w:u w:val="single"/>
        </w:rPr>
      </w:pPr>
    </w:p>
    <w:p w:rsidR="00F87176" w:rsidRPr="005E4A63" w:rsidRDefault="00F87176" w:rsidP="00964EE2">
      <w:pPr>
        <w:pStyle w:val="ListParagraph"/>
        <w:keepNext/>
        <w:keepLines/>
        <w:numPr>
          <w:ilvl w:val="1"/>
          <w:numId w:val="10"/>
        </w:numPr>
        <w:ind w:left="1080"/>
        <w:jc w:val="both"/>
        <w:rPr>
          <w:rFonts w:eastAsiaTheme="minorHAnsi"/>
        </w:rPr>
      </w:pPr>
      <w:r w:rsidRPr="00F87176">
        <w:rPr>
          <w:rFonts w:eastAsiaTheme="minorHAnsi"/>
        </w:rPr>
        <w:t>Approv</w:t>
      </w:r>
      <w:r w:rsidR="007C0B45">
        <w:rPr>
          <w:rFonts w:eastAsiaTheme="minorHAnsi"/>
        </w:rPr>
        <w:t>ing</w:t>
      </w:r>
      <w:r w:rsidRPr="00F87176">
        <w:rPr>
          <w:rFonts w:eastAsiaTheme="minorHAnsi"/>
        </w:rPr>
        <w:t xml:space="preserve"> continuing medical education (CME) training programs that provide primary care physicians </w:t>
      </w:r>
      <w:r w:rsidR="007C0B45">
        <w:rPr>
          <w:rFonts w:eastAsiaTheme="minorHAnsi"/>
        </w:rPr>
        <w:t>and other allied health</w:t>
      </w:r>
      <w:r w:rsidR="00D55163">
        <w:rPr>
          <w:rFonts w:eastAsiaTheme="minorHAnsi"/>
        </w:rPr>
        <w:t xml:space="preserve"> </w:t>
      </w:r>
      <w:r w:rsidR="007C0B45">
        <w:rPr>
          <w:rFonts w:eastAsiaTheme="minorHAnsi"/>
        </w:rPr>
        <w:t xml:space="preserve">care professionals </w:t>
      </w:r>
      <w:r w:rsidRPr="002E18D0">
        <w:rPr>
          <w:rFonts w:eastAsiaTheme="minorHAnsi"/>
        </w:rPr>
        <w:t xml:space="preserve">with ongoing education about recent developments, research, and treatments of Alzheimer’s </w:t>
      </w:r>
      <w:r w:rsidR="007C0B45">
        <w:rPr>
          <w:rFonts w:eastAsiaTheme="minorHAnsi"/>
        </w:rPr>
        <w:t>d</w:t>
      </w:r>
      <w:r w:rsidR="007C0B45" w:rsidRPr="002E18D0">
        <w:rPr>
          <w:rFonts w:eastAsiaTheme="minorHAnsi"/>
        </w:rPr>
        <w:t xml:space="preserve">isease </w:t>
      </w:r>
      <w:r w:rsidRPr="002E18D0">
        <w:rPr>
          <w:rFonts w:eastAsiaTheme="minorHAnsi"/>
        </w:rPr>
        <w:t xml:space="preserve">and </w:t>
      </w:r>
      <w:r w:rsidR="006D1762">
        <w:rPr>
          <w:rFonts w:eastAsiaTheme="minorHAnsi"/>
        </w:rPr>
        <w:t>related disorders</w:t>
      </w:r>
      <w:r w:rsidRPr="002E18D0">
        <w:rPr>
          <w:rFonts w:eastAsiaTheme="minorHAnsi"/>
        </w:rPr>
        <w:t xml:space="preserve">. </w:t>
      </w:r>
    </w:p>
    <w:p w:rsidR="00F87176" w:rsidRPr="005E4A63" w:rsidRDefault="00F87176" w:rsidP="001D6901">
      <w:pPr>
        <w:ind w:left="1080"/>
        <w:jc w:val="both"/>
        <w:rPr>
          <w:rFonts w:eastAsiaTheme="minorHAnsi"/>
        </w:rPr>
      </w:pPr>
    </w:p>
    <w:p w:rsidR="00F87176" w:rsidRPr="005E4A63" w:rsidRDefault="00F87176" w:rsidP="001D6901">
      <w:pPr>
        <w:pStyle w:val="ListParagraph"/>
        <w:numPr>
          <w:ilvl w:val="1"/>
          <w:numId w:val="10"/>
        </w:numPr>
        <w:ind w:left="1080"/>
        <w:jc w:val="both"/>
        <w:rPr>
          <w:rFonts w:eastAsiaTheme="minorHAnsi"/>
        </w:rPr>
      </w:pPr>
      <w:r w:rsidRPr="00F87176">
        <w:rPr>
          <w:rFonts w:eastAsiaTheme="minorHAnsi"/>
        </w:rPr>
        <w:t>Encourag</w:t>
      </w:r>
      <w:r w:rsidR="007C0B45">
        <w:rPr>
          <w:rFonts w:eastAsiaTheme="minorHAnsi"/>
        </w:rPr>
        <w:t>ing</w:t>
      </w:r>
      <w:r w:rsidRPr="00F87176">
        <w:rPr>
          <w:rFonts w:eastAsiaTheme="minorHAnsi"/>
        </w:rPr>
        <w:t xml:space="preserve"> primary care physicians to refer </w:t>
      </w:r>
      <w:r w:rsidR="008F61F3">
        <w:rPr>
          <w:rFonts w:eastAsiaTheme="minorHAnsi"/>
        </w:rPr>
        <w:t>persons with cognitive deficits</w:t>
      </w:r>
      <w:r w:rsidR="008F61F3" w:rsidRPr="00F87176">
        <w:rPr>
          <w:rFonts w:eastAsiaTheme="minorHAnsi"/>
        </w:rPr>
        <w:t xml:space="preserve"> </w:t>
      </w:r>
      <w:r w:rsidRPr="00F87176">
        <w:rPr>
          <w:rFonts w:eastAsiaTheme="minorHAnsi"/>
        </w:rPr>
        <w:t xml:space="preserve">for specialized cognitive testing when appropriate.   </w:t>
      </w:r>
    </w:p>
    <w:p w:rsidR="00F87176" w:rsidRPr="005E4A63" w:rsidRDefault="00F87176" w:rsidP="001D6901">
      <w:pPr>
        <w:ind w:left="1080"/>
        <w:jc w:val="both"/>
        <w:rPr>
          <w:rFonts w:eastAsiaTheme="minorHAnsi"/>
        </w:rPr>
      </w:pPr>
    </w:p>
    <w:p w:rsidR="00F87176" w:rsidRPr="005E4A63" w:rsidRDefault="007C0B45" w:rsidP="001D6901">
      <w:pPr>
        <w:pStyle w:val="ListParagraph"/>
        <w:numPr>
          <w:ilvl w:val="1"/>
          <w:numId w:val="10"/>
        </w:numPr>
        <w:ind w:left="1080"/>
        <w:jc w:val="both"/>
        <w:rPr>
          <w:rFonts w:eastAsiaTheme="minorHAnsi"/>
        </w:rPr>
      </w:pPr>
      <w:r w:rsidRPr="00F87176">
        <w:rPr>
          <w:rFonts w:eastAsiaTheme="minorHAnsi"/>
        </w:rPr>
        <w:t>Encourag</w:t>
      </w:r>
      <w:r>
        <w:rPr>
          <w:rFonts w:eastAsiaTheme="minorHAnsi"/>
        </w:rPr>
        <w:t>ing</w:t>
      </w:r>
      <w:r w:rsidRPr="00F87176">
        <w:rPr>
          <w:rFonts w:eastAsiaTheme="minorHAnsi"/>
        </w:rPr>
        <w:t xml:space="preserve"> </w:t>
      </w:r>
      <w:r w:rsidR="00F87176" w:rsidRPr="00F87176">
        <w:rPr>
          <w:rFonts w:eastAsiaTheme="minorHAnsi"/>
        </w:rPr>
        <w:t>primary</w:t>
      </w:r>
      <w:r w:rsidR="00F87176" w:rsidRPr="005E4A63">
        <w:rPr>
          <w:rFonts w:eastAsiaTheme="minorHAnsi"/>
        </w:rPr>
        <w:t xml:space="preserve"> </w:t>
      </w:r>
      <w:r w:rsidR="00F87176" w:rsidRPr="00F87176">
        <w:rPr>
          <w:rFonts w:eastAsiaTheme="minorHAnsi"/>
        </w:rPr>
        <w:t xml:space="preserve">care physicians to refer </w:t>
      </w:r>
      <w:r w:rsidR="008F61F3">
        <w:rPr>
          <w:rFonts w:eastAsiaTheme="minorHAnsi"/>
        </w:rPr>
        <w:t xml:space="preserve">persons with dementia and their </w:t>
      </w:r>
      <w:r w:rsidR="00F87176" w:rsidRPr="00F87176">
        <w:rPr>
          <w:rFonts w:eastAsiaTheme="minorHAnsi"/>
        </w:rPr>
        <w:t xml:space="preserve">families to </w:t>
      </w:r>
      <w:r>
        <w:rPr>
          <w:rFonts w:eastAsiaTheme="minorHAnsi"/>
        </w:rPr>
        <w:t>dementia-related community resources and supportive programs</w:t>
      </w:r>
      <w:r w:rsidR="00F87176" w:rsidRPr="00F87176">
        <w:rPr>
          <w:rFonts w:eastAsiaTheme="minorHAnsi"/>
        </w:rPr>
        <w:t xml:space="preserve">.  </w:t>
      </w:r>
    </w:p>
    <w:p w:rsidR="00F87176" w:rsidRPr="00B62337" w:rsidRDefault="00F87176" w:rsidP="001D6901">
      <w:pPr>
        <w:ind w:left="810"/>
        <w:contextualSpacing/>
        <w:jc w:val="both"/>
        <w:rPr>
          <w:rFonts w:eastAsiaTheme="minorHAnsi"/>
          <w:noProof/>
        </w:rPr>
      </w:pPr>
    </w:p>
    <w:p w:rsidR="007A0B43" w:rsidRPr="005E4A63" w:rsidRDefault="007C0B45" w:rsidP="00074735">
      <w:pPr>
        <w:pStyle w:val="ListParagraph"/>
        <w:numPr>
          <w:ilvl w:val="0"/>
          <w:numId w:val="9"/>
        </w:numPr>
        <w:ind w:left="432" w:hanging="432"/>
        <w:jc w:val="both"/>
        <w:rPr>
          <w:rFonts w:eastAsia="Cambria"/>
        </w:rPr>
      </w:pPr>
      <w:r>
        <w:rPr>
          <w:rFonts w:eastAsiaTheme="minorHAnsi"/>
        </w:rPr>
        <w:t>Encourage</w:t>
      </w:r>
      <w:r w:rsidRPr="00B62337">
        <w:rPr>
          <w:rFonts w:eastAsiaTheme="minorHAnsi"/>
        </w:rPr>
        <w:t xml:space="preserve"> </w:t>
      </w:r>
      <w:r w:rsidR="00F87176" w:rsidRPr="00B62337">
        <w:rPr>
          <w:rFonts w:eastAsiaTheme="minorHAnsi"/>
        </w:rPr>
        <w:t>schools in Nevada</w:t>
      </w:r>
      <w:r>
        <w:rPr>
          <w:rFonts w:eastAsiaTheme="minorHAnsi"/>
        </w:rPr>
        <w:t xml:space="preserve"> with programs in nursing and other health</w:t>
      </w:r>
      <w:r w:rsidR="00D55163">
        <w:rPr>
          <w:rFonts w:eastAsiaTheme="minorHAnsi"/>
        </w:rPr>
        <w:t xml:space="preserve"> </w:t>
      </w:r>
      <w:r>
        <w:rPr>
          <w:rFonts w:eastAsiaTheme="minorHAnsi"/>
        </w:rPr>
        <w:t>care professions</w:t>
      </w:r>
      <w:r w:rsidR="00F87176" w:rsidRPr="00B62337">
        <w:rPr>
          <w:rFonts w:eastAsiaTheme="minorHAnsi"/>
        </w:rPr>
        <w:t xml:space="preserve"> to </w:t>
      </w:r>
      <w:r>
        <w:rPr>
          <w:rFonts w:eastAsiaTheme="minorHAnsi"/>
        </w:rPr>
        <w:t>ensure that</w:t>
      </w:r>
      <w:r w:rsidRPr="00B62337">
        <w:rPr>
          <w:rFonts w:eastAsiaTheme="minorHAnsi"/>
        </w:rPr>
        <w:t xml:space="preserve"> </w:t>
      </w:r>
      <w:r w:rsidR="00F87176" w:rsidRPr="00B62337">
        <w:rPr>
          <w:rFonts w:eastAsiaTheme="minorHAnsi"/>
        </w:rPr>
        <w:t xml:space="preserve">the programs include specific training </w:t>
      </w:r>
      <w:r w:rsidR="00AA2EF1">
        <w:rPr>
          <w:rFonts w:eastAsiaTheme="minorHAnsi"/>
        </w:rPr>
        <w:t xml:space="preserve">regarding </w:t>
      </w:r>
      <w:r w:rsidR="00F87176" w:rsidRPr="00B62337">
        <w:rPr>
          <w:rFonts w:eastAsiaTheme="minorHAnsi"/>
        </w:rPr>
        <w:t xml:space="preserve">Alzheimer’s </w:t>
      </w:r>
      <w:r>
        <w:rPr>
          <w:rFonts w:eastAsiaTheme="minorHAnsi"/>
        </w:rPr>
        <w:t>d</w:t>
      </w:r>
      <w:r w:rsidRPr="00B62337">
        <w:rPr>
          <w:rFonts w:eastAsiaTheme="minorHAnsi"/>
        </w:rPr>
        <w:t xml:space="preserve">isease </w:t>
      </w:r>
      <w:r w:rsidR="00F87176" w:rsidRPr="00B62337">
        <w:rPr>
          <w:rFonts w:eastAsiaTheme="minorHAnsi"/>
        </w:rPr>
        <w:t xml:space="preserve">and </w:t>
      </w:r>
      <w:r w:rsidR="006824E9">
        <w:rPr>
          <w:rFonts w:eastAsiaTheme="minorHAnsi"/>
        </w:rPr>
        <w:t>related disorders</w:t>
      </w:r>
      <w:r w:rsidR="00F87176" w:rsidRPr="00B62337">
        <w:rPr>
          <w:rFonts w:eastAsiaTheme="minorHAnsi"/>
        </w:rPr>
        <w:t xml:space="preserve"> in their curriculum and expand </w:t>
      </w:r>
      <w:r w:rsidR="005A6F82">
        <w:rPr>
          <w:rFonts w:eastAsiaTheme="minorHAnsi"/>
        </w:rPr>
        <w:t xml:space="preserve">related </w:t>
      </w:r>
      <w:r w:rsidR="00F87176" w:rsidRPr="00B62337">
        <w:rPr>
          <w:rFonts w:eastAsiaTheme="minorHAnsi"/>
        </w:rPr>
        <w:t>continuing education</w:t>
      </w:r>
      <w:r w:rsidR="005A6F82">
        <w:rPr>
          <w:rFonts w:eastAsiaTheme="minorHAnsi"/>
        </w:rPr>
        <w:t xml:space="preserve"> opportunities</w:t>
      </w:r>
      <w:r w:rsidR="00F87176" w:rsidRPr="00B62337">
        <w:rPr>
          <w:rFonts w:eastAsiaTheme="minorHAnsi"/>
        </w:rPr>
        <w:t xml:space="preserve"> for nurses</w:t>
      </w:r>
      <w:r>
        <w:rPr>
          <w:rFonts w:eastAsiaTheme="minorHAnsi"/>
        </w:rPr>
        <w:t xml:space="preserve"> and other health</w:t>
      </w:r>
      <w:r w:rsidR="00D55163">
        <w:rPr>
          <w:rFonts w:eastAsiaTheme="minorHAnsi"/>
        </w:rPr>
        <w:t xml:space="preserve"> </w:t>
      </w:r>
      <w:r>
        <w:rPr>
          <w:rFonts w:eastAsiaTheme="minorHAnsi"/>
        </w:rPr>
        <w:t>care professionals</w:t>
      </w:r>
      <w:r w:rsidR="00F87176" w:rsidRPr="00B62337">
        <w:rPr>
          <w:rFonts w:eastAsiaTheme="minorHAnsi"/>
        </w:rPr>
        <w:t xml:space="preserve"> in the acute care setting.</w:t>
      </w:r>
    </w:p>
    <w:p w:rsidR="00E4666C" w:rsidRPr="005E4A63" w:rsidRDefault="00E4666C" w:rsidP="001D6901">
      <w:pPr>
        <w:pStyle w:val="ListParagraph"/>
        <w:ind w:left="360"/>
        <w:jc w:val="both"/>
        <w:rPr>
          <w:rFonts w:eastAsia="Cambria"/>
        </w:rPr>
      </w:pPr>
    </w:p>
    <w:p w:rsidR="00F87176" w:rsidRDefault="00F87176" w:rsidP="00074735">
      <w:pPr>
        <w:pStyle w:val="ListParagraph"/>
        <w:numPr>
          <w:ilvl w:val="0"/>
          <w:numId w:val="9"/>
        </w:numPr>
        <w:ind w:left="432" w:hanging="432"/>
        <w:jc w:val="both"/>
        <w:rPr>
          <w:rFonts w:eastAsiaTheme="minorHAnsi"/>
        </w:rPr>
      </w:pPr>
      <w:r w:rsidRPr="00F87176">
        <w:rPr>
          <w:rFonts w:eastAsiaTheme="minorHAnsi"/>
        </w:rPr>
        <w:t xml:space="preserve">Encourage training and education about Alzheimer’s </w:t>
      </w:r>
      <w:r w:rsidR="00480BAD">
        <w:rPr>
          <w:rFonts w:eastAsiaTheme="minorHAnsi"/>
        </w:rPr>
        <w:t>d</w:t>
      </w:r>
      <w:r w:rsidRPr="00F87176">
        <w:rPr>
          <w:rFonts w:eastAsiaTheme="minorHAnsi"/>
        </w:rPr>
        <w:t xml:space="preserve">isease and </w:t>
      </w:r>
      <w:r w:rsidR="006824E9">
        <w:rPr>
          <w:rFonts w:eastAsiaTheme="minorHAnsi"/>
        </w:rPr>
        <w:t>related disorders</w:t>
      </w:r>
      <w:r w:rsidR="007C0B45">
        <w:rPr>
          <w:rFonts w:eastAsiaTheme="minorHAnsi"/>
        </w:rPr>
        <w:t xml:space="preserve"> </w:t>
      </w:r>
      <w:r w:rsidRPr="00F87176">
        <w:rPr>
          <w:rFonts w:eastAsiaTheme="minorHAnsi"/>
        </w:rPr>
        <w:t>for all levels of medical personnel in a hospital, including emergency room personnel</w:t>
      </w:r>
      <w:r w:rsidR="007C0B45">
        <w:rPr>
          <w:rFonts w:eastAsiaTheme="minorHAnsi"/>
        </w:rPr>
        <w:t xml:space="preserve"> and others responsible for admission and discharge</w:t>
      </w:r>
      <w:r w:rsidRPr="00F87176">
        <w:rPr>
          <w:rFonts w:eastAsiaTheme="minorHAnsi"/>
        </w:rPr>
        <w:t>.</w:t>
      </w:r>
      <w:r w:rsidR="005705D7">
        <w:rPr>
          <w:rFonts w:eastAsiaTheme="minorHAnsi"/>
        </w:rPr>
        <w:t xml:space="preserve">  Encourage the </w:t>
      </w:r>
      <w:r w:rsidR="00F34588">
        <w:rPr>
          <w:rFonts w:eastAsiaTheme="minorHAnsi"/>
        </w:rPr>
        <w:t>Nevada H</w:t>
      </w:r>
      <w:r w:rsidR="005705D7">
        <w:rPr>
          <w:rFonts w:eastAsiaTheme="minorHAnsi"/>
        </w:rPr>
        <w:t xml:space="preserve">ospital </w:t>
      </w:r>
      <w:r w:rsidR="00F34588">
        <w:rPr>
          <w:rFonts w:eastAsiaTheme="minorHAnsi"/>
        </w:rPr>
        <w:t>A</w:t>
      </w:r>
      <w:r w:rsidR="005705D7">
        <w:rPr>
          <w:rFonts w:eastAsiaTheme="minorHAnsi"/>
        </w:rPr>
        <w:t>ssociation</w:t>
      </w:r>
      <w:r w:rsidR="00AE63CC">
        <w:rPr>
          <w:rFonts w:eastAsiaTheme="minorHAnsi"/>
        </w:rPr>
        <w:t>,</w:t>
      </w:r>
      <w:r w:rsidR="005705D7">
        <w:rPr>
          <w:rFonts w:eastAsiaTheme="minorHAnsi"/>
        </w:rPr>
        <w:t xml:space="preserve"> </w:t>
      </w:r>
      <w:r w:rsidR="005A6F82">
        <w:rPr>
          <w:rFonts w:eastAsiaTheme="minorHAnsi"/>
        </w:rPr>
        <w:t xml:space="preserve">in collaboration with subject matter experts from the Alzheimer’s Association, research, and educational organizations, </w:t>
      </w:r>
      <w:r w:rsidR="005705D7">
        <w:rPr>
          <w:rFonts w:eastAsiaTheme="minorHAnsi"/>
        </w:rPr>
        <w:t>to develop a care pathway plan for the management of patients with cognitive impairment entering the hospital.  Provide incentives and recognition for outstanding facilities that have effectively implemented care pathways.</w:t>
      </w:r>
    </w:p>
    <w:p w:rsidR="00E4666C" w:rsidRPr="00F87176" w:rsidRDefault="00E4666C" w:rsidP="001D6901">
      <w:pPr>
        <w:pStyle w:val="ListParagraph"/>
        <w:ind w:left="360"/>
        <w:jc w:val="both"/>
        <w:rPr>
          <w:rFonts w:eastAsiaTheme="minorHAnsi"/>
        </w:rPr>
      </w:pPr>
    </w:p>
    <w:p w:rsidR="00F87176" w:rsidRDefault="00F87176" w:rsidP="00074735">
      <w:pPr>
        <w:pStyle w:val="ListParagraph"/>
        <w:numPr>
          <w:ilvl w:val="0"/>
          <w:numId w:val="9"/>
        </w:numPr>
        <w:ind w:left="432" w:hanging="432"/>
        <w:jc w:val="both"/>
        <w:rPr>
          <w:rFonts w:eastAsiaTheme="minorHAnsi"/>
        </w:rPr>
      </w:pPr>
      <w:r w:rsidRPr="00B62337">
        <w:rPr>
          <w:rFonts w:eastAsiaTheme="minorHAnsi"/>
        </w:rPr>
        <w:t xml:space="preserve">Encourage first responders, </w:t>
      </w:r>
      <w:r w:rsidR="006B3FA5">
        <w:rPr>
          <w:rFonts w:eastAsiaTheme="minorHAnsi"/>
        </w:rPr>
        <w:t>law enforcement</w:t>
      </w:r>
      <w:r w:rsidRPr="00B62337">
        <w:rPr>
          <w:rFonts w:eastAsiaTheme="minorHAnsi"/>
        </w:rPr>
        <w:t>, and fire department personnel to have a specified number of hours of training to help them assess and learn how to respond to</w:t>
      </w:r>
      <w:r w:rsidR="008F61F3">
        <w:rPr>
          <w:rFonts w:eastAsiaTheme="minorHAnsi"/>
        </w:rPr>
        <w:t xml:space="preserve"> </w:t>
      </w:r>
      <w:r w:rsidRPr="00B62337">
        <w:rPr>
          <w:rFonts w:eastAsiaTheme="minorHAnsi"/>
        </w:rPr>
        <w:t xml:space="preserve">people with Alzheimer’s </w:t>
      </w:r>
      <w:r w:rsidR="00480BAD">
        <w:rPr>
          <w:rFonts w:eastAsiaTheme="minorHAnsi"/>
        </w:rPr>
        <w:t>d</w:t>
      </w:r>
      <w:r w:rsidRPr="00B62337">
        <w:rPr>
          <w:rFonts w:eastAsiaTheme="minorHAnsi"/>
        </w:rPr>
        <w:t xml:space="preserve">isease and </w:t>
      </w:r>
      <w:r w:rsidR="006824E9">
        <w:rPr>
          <w:rFonts w:eastAsiaTheme="minorHAnsi"/>
        </w:rPr>
        <w:t>related disorders</w:t>
      </w:r>
      <w:r w:rsidRPr="00B62337">
        <w:rPr>
          <w:rFonts w:eastAsiaTheme="minorHAnsi"/>
        </w:rPr>
        <w:t xml:space="preserve">.  </w:t>
      </w:r>
    </w:p>
    <w:p w:rsidR="00E4666C" w:rsidRPr="00B62337" w:rsidRDefault="00E4666C" w:rsidP="001D6901">
      <w:pPr>
        <w:pStyle w:val="ListParagraph"/>
        <w:ind w:left="360"/>
        <w:jc w:val="both"/>
        <w:rPr>
          <w:rFonts w:eastAsiaTheme="minorHAnsi"/>
        </w:rPr>
      </w:pPr>
    </w:p>
    <w:p w:rsidR="00F87176" w:rsidRPr="005E4A63" w:rsidRDefault="00F87176" w:rsidP="00074735">
      <w:pPr>
        <w:pStyle w:val="ListParagraph"/>
        <w:numPr>
          <w:ilvl w:val="0"/>
          <w:numId w:val="9"/>
        </w:numPr>
        <w:ind w:left="432" w:hanging="432"/>
        <w:jc w:val="both"/>
        <w:rPr>
          <w:rFonts w:eastAsia="Cambria"/>
        </w:rPr>
      </w:pPr>
      <w:r w:rsidRPr="007E45BA">
        <w:rPr>
          <w:spacing w:val="-2"/>
        </w:rPr>
        <w:t xml:space="preserve">Provide and expand respite services for family caregivers of </w:t>
      </w:r>
      <w:r w:rsidR="00480BAD">
        <w:rPr>
          <w:spacing w:val="-2"/>
        </w:rPr>
        <w:t>persons</w:t>
      </w:r>
      <w:r w:rsidR="00480BAD" w:rsidRPr="007E45BA">
        <w:rPr>
          <w:spacing w:val="-2"/>
        </w:rPr>
        <w:t xml:space="preserve"> </w:t>
      </w:r>
      <w:r w:rsidR="002E3D03">
        <w:rPr>
          <w:spacing w:val="-2"/>
        </w:rPr>
        <w:t>with Alzheimer’s </w:t>
      </w:r>
      <w:r w:rsidR="00480BAD">
        <w:rPr>
          <w:spacing w:val="-2"/>
        </w:rPr>
        <w:t>d</w:t>
      </w:r>
      <w:r w:rsidRPr="007E45BA">
        <w:rPr>
          <w:spacing w:val="-2"/>
        </w:rPr>
        <w:t xml:space="preserve">isease and </w:t>
      </w:r>
      <w:r w:rsidR="006824E9">
        <w:rPr>
          <w:spacing w:val="-2"/>
        </w:rPr>
        <w:t>related disorders</w:t>
      </w:r>
      <w:r w:rsidR="007C0B45">
        <w:rPr>
          <w:spacing w:val="-2"/>
        </w:rPr>
        <w:t xml:space="preserve"> with the goal o</w:t>
      </w:r>
      <w:r w:rsidR="005A6F82">
        <w:rPr>
          <w:spacing w:val="-2"/>
        </w:rPr>
        <w:t>f</w:t>
      </w:r>
      <w:r w:rsidR="007C0B45">
        <w:rPr>
          <w:spacing w:val="-2"/>
        </w:rPr>
        <w:t xml:space="preserve"> reducing the need for emergency room visits and caregiver stress.</w:t>
      </w:r>
      <w:r w:rsidRPr="007E45BA">
        <w:rPr>
          <w:spacing w:val="-2"/>
        </w:rPr>
        <w:t xml:space="preserve"> </w:t>
      </w:r>
      <w:r w:rsidR="002E3D03">
        <w:rPr>
          <w:spacing w:val="-2"/>
        </w:rPr>
        <w:t xml:space="preserve"> </w:t>
      </w:r>
      <w:r w:rsidRPr="007E45BA">
        <w:rPr>
          <w:spacing w:val="-2"/>
        </w:rPr>
        <w:t xml:space="preserve">Broaden the eligibility requirements for use of respite </w:t>
      </w:r>
      <w:r w:rsidR="008F61F3">
        <w:rPr>
          <w:spacing w:val="-2"/>
        </w:rPr>
        <w:t xml:space="preserve">programs and </w:t>
      </w:r>
      <w:r w:rsidRPr="007E45BA">
        <w:rPr>
          <w:spacing w:val="-2"/>
        </w:rPr>
        <w:t>grants</w:t>
      </w:r>
      <w:r w:rsidR="005705D7">
        <w:rPr>
          <w:spacing w:val="-2"/>
        </w:rPr>
        <w:t xml:space="preserve"> so that more families may benefit from them</w:t>
      </w:r>
      <w:r w:rsidR="00AC3A44" w:rsidRPr="00AC3A44">
        <w:rPr>
          <w:spacing w:val="-2"/>
        </w:rPr>
        <w:t xml:space="preserve"> </w:t>
      </w:r>
      <w:r w:rsidR="00AC3A44" w:rsidRPr="007E45BA">
        <w:rPr>
          <w:spacing w:val="-2"/>
        </w:rPr>
        <w:t>regardless of financial status</w:t>
      </w:r>
      <w:r w:rsidR="00AC3A44">
        <w:rPr>
          <w:spacing w:val="-2"/>
        </w:rPr>
        <w:t xml:space="preserve"> or age</w:t>
      </w:r>
      <w:r w:rsidRPr="007E45BA">
        <w:rPr>
          <w:spacing w:val="-2"/>
        </w:rPr>
        <w:t>.</w:t>
      </w:r>
    </w:p>
    <w:p w:rsidR="00E4666C" w:rsidRPr="005E4A63" w:rsidRDefault="00E4666C" w:rsidP="001D6901">
      <w:pPr>
        <w:pStyle w:val="ListParagraph"/>
        <w:ind w:left="360"/>
        <w:jc w:val="both"/>
        <w:rPr>
          <w:rFonts w:eastAsia="Cambria"/>
        </w:rPr>
      </w:pPr>
    </w:p>
    <w:p w:rsidR="00F87176" w:rsidRPr="005E4A63" w:rsidRDefault="00F87176" w:rsidP="00074735">
      <w:pPr>
        <w:pStyle w:val="ListParagraph"/>
        <w:numPr>
          <w:ilvl w:val="0"/>
          <w:numId w:val="9"/>
        </w:numPr>
        <w:ind w:left="432" w:hanging="432"/>
        <w:jc w:val="both"/>
        <w:rPr>
          <w:rFonts w:eastAsia="Cambria"/>
        </w:rPr>
      </w:pPr>
      <w:r w:rsidRPr="00B62337">
        <w:lastRenderedPageBreak/>
        <w:t>Explore the use of volunteers to provide support to family caregivers by collaborating with community organizations and faith</w:t>
      </w:r>
      <w:r>
        <w:t>-</w:t>
      </w:r>
      <w:r w:rsidRPr="00B62337">
        <w:t xml:space="preserve">based groups.  </w:t>
      </w:r>
      <w:r w:rsidR="007038DA">
        <w:t xml:space="preserve">Recruit volunteers through public drives and awareness campaigns.  Provide volunteers with training and education so that they can better serve those with </w:t>
      </w:r>
      <w:r w:rsidR="00DC22E8">
        <w:t>Alzheimer’s</w:t>
      </w:r>
      <w:r w:rsidR="007038DA">
        <w:t xml:space="preserve"> disease and other dementias and their families.</w:t>
      </w:r>
    </w:p>
    <w:p w:rsidR="00E4666C" w:rsidRPr="005E4A63" w:rsidRDefault="00E4666C" w:rsidP="001D6901">
      <w:pPr>
        <w:pStyle w:val="ListParagraph"/>
        <w:ind w:left="360"/>
        <w:jc w:val="both"/>
        <w:rPr>
          <w:rFonts w:eastAsia="Cambria"/>
        </w:rPr>
      </w:pPr>
    </w:p>
    <w:p w:rsidR="00E4666C" w:rsidRPr="00964EE2" w:rsidRDefault="00D13BF5" w:rsidP="00964EE2">
      <w:pPr>
        <w:pStyle w:val="ListParagraph"/>
        <w:keepNext/>
        <w:keepLines/>
        <w:numPr>
          <w:ilvl w:val="0"/>
          <w:numId w:val="9"/>
        </w:numPr>
        <w:ind w:left="432" w:hanging="432"/>
        <w:jc w:val="both"/>
        <w:rPr>
          <w:rFonts w:eastAsia="Cambria"/>
        </w:rPr>
      </w:pPr>
      <w:r w:rsidRPr="009624DD">
        <w:rPr>
          <w:shd w:val="clear" w:color="auto" w:fill="FFFFFF"/>
        </w:rPr>
        <w:t>Propose legislation to change NRS 159.076, providing an exception to the law allowing summary administration of a small estate if the ward is suffering from dementia, including but not limited to Alzheimer’s disease.</w:t>
      </w:r>
      <w:r>
        <w:rPr>
          <w:shd w:val="clear" w:color="auto" w:fill="FFFFFF"/>
        </w:rPr>
        <w:t xml:space="preserve">  </w:t>
      </w:r>
      <w:r w:rsidRPr="009624DD">
        <w:rPr>
          <w:shd w:val="clear" w:color="auto" w:fill="FFFFFF"/>
        </w:rPr>
        <w:t>Ask the Legislature to send a letter to all district courts requesting close supervision of all guardians whose wards suffer from dementia, including but not limited to Alzheimer’s disease, to insure that all reports on the person and estate of the wards are filed and reviewed according to existing law.</w:t>
      </w:r>
      <w:r>
        <w:rPr>
          <w:shd w:val="clear" w:color="auto" w:fill="FFFFFF"/>
        </w:rPr>
        <w:t xml:space="preserve">  </w:t>
      </w:r>
    </w:p>
    <w:p w:rsidR="00964EE2" w:rsidRPr="005E4A63" w:rsidRDefault="00964EE2" w:rsidP="00964EE2">
      <w:pPr>
        <w:pStyle w:val="ListParagraph"/>
        <w:keepNext/>
        <w:keepLines/>
        <w:ind w:left="432"/>
        <w:jc w:val="both"/>
        <w:rPr>
          <w:rFonts w:eastAsia="Cambria"/>
        </w:rPr>
      </w:pPr>
    </w:p>
    <w:p w:rsidR="00F87176" w:rsidRPr="005E4A63" w:rsidRDefault="00F87176" w:rsidP="00074735">
      <w:pPr>
        <w:pStyle w:val="ListParagraph"/>
        <w:numPr>
          <w:ilvl w:val="0"/>
          <w:numId w:val="9"/>
        </w:numPr>
        <w:ind w:left="432" w:hanging="432"/>
        <w:jc w:val="both"/>
        <w:rPr>
          <w:rFonts w:eastAsia="Cambria"/>
        </w:rPr>
      </w:pPr>
      <w:r w:rsidRPr="00B62337">
        <w:t xml:space="preserve">Establish </w:t>
      </w:r>
      <w:r w:rsidR="008F61F3">
        <w:t xml:space="preserve">hospital </w:t>
      </w:r>
      <w:r w:rsidRPr="00B62337">
        <w:t>transition</w:t>
      </w:r>
      <w:r w:rsidR="008F61F3">
        <w:t>al</w:t>
      </w:r>
      <w:r w:rsidRPr="00B62337">
        <w:t xml:space="preserve"> care programs that include information on community resources for caregiv</w:t>
      </w:r>
      <w:r w:rsidR="0096775B">
        <w:t>ers and persons with dementia.</w:t>
      </w:r>
      <w:r w:rsidR="0096775B" w:rsidRPr="0096775B">
        <w:rPr>
          <w:spacing w:val="-6"/>
        </w:rPr>
        <w:t xml:space="preserve">  </w:t>
      </w:r>
      <w:r w:rsidRPr="00B62337">
        <w:t xml:space="preserve">Investigate federal funding </w:t>
      </w:r>
      <w:r w:rsidR="001202A7" w:rsidRPr="00B62337">
        <w:t xml:space="preserve">opportunities </w:t>
      </w:r>
      <w:r w:rsidRPr="00B62337">
        <w:t>through Medicare Innovations or C</w:t>
      </w:r>
      <w:r>
        <w:t xml:space="preserve">enters for Medicare and Medicaid Services </w:t>
      </w:r>
      <w:r w:rsidRPr="00B62337">
        <w:t>to develop a transitions planning program or to avoid the hospital setting altogether</w:t>
      </w:r>
      <w:r w:rsidR="00F34588">
        <w:t>,</w:t>
      </w:r>
      <w:r w:rsidRPr="00B62337">
        <w:t xml:space="preserve"> i.e., </w:t>
      </w:r>
      <w:r w:rsidR="00480BAD">
        <w:t xml:space="preserve">a </w:t>
      </w:r>
      <w:r w:rsidRPr="00B62337">
        <w:t xml:space="preserve">mobile dementia team approach.  </w:t>
      </w:r>
    </w:p>
    <w:p w:rsidR="00E4666C" w:rsidRPr="005E4A63" w:rsidRDefault="00E4666C" w:rsidP="001D6901">
      <w:pPr>
        <w:pStyle w:val="ListParagraph"/>
        <w:ind w:left="360"/>
        <w:jc w:val="both"/>
        <w:rPr>
          <w:rFonts w:eastAsia="Cambria"/>
        </w:rPr>
      </w:pPr>
    </w:p>
    <w:p w:rsidR="00E4666C" w:rsidRPr="00A047C6" w:rsidRDefault="00EE1B40" w:rsidP="00074735">
      <w:pPr>
        <w:pStyle w:val="ListParagraph"/>
        <w:numPr>
          <w:ilvl w:val="0"/>
          <w:numId w:val="9"/>
        </w:numPr>
        <w:ind w:left="432" w:hanging="432"/>
        <w:jc w:val="both"/>
        <w:rPr>
          <w:rFonts w:eastAsia="Cambria"/>
        </w:rPr>
      </w:pPr>
      <w:r>
        <w:t>Collaborate with</w:t>
      </w:r>
      <w:r w:rsidRPr="00B62337">
        <w:t xml:space="preserve"> </w:t>
      </w:r>
      <w:r w:rsidR="00F87176">
        <w:t xml:space="preserve">the </w:t>
      </w:r>
      <w:r w:rsidR="00F87176" w:rsidRPr="00B62337">
        <w:t xml:space="preserve">business </w:t>
      </w:r>
      <w:r w:rsidR="00F87176">
        <w:t xml:space="preserve">community </w:t>
      </w:r>
      <w:r>
        <w:t>to</w:t>
      </w:r>
      <w:r w:rsidR="00F87176" w:rsidRPr="00B62337">
        <w:t xml:space="preserve"> create employee assistance programs that include education and training for caregivers.  Develop partnerships with other organizations that a</w:t>
      </w:r>
      <w:r w:rsidR="00480BAD">
        <w:t xml:space="preserve">re also affected by </w:t>
      </w:r>
      <w:r w:rsidR="00F87176" w:rsidRPr="00B62337">
        <w:t xml:space="preserve">Alzheimer’s </w:t>
      </w:r>
      <w:r w:rsidR="00480BAD">
        <w:t>d</w:t>
      </w:r>
      <w:r w:rsidR="00F87176" w:rsidRPr="00B62337">
        <w:t xml:space="preserve">isease and </w:t>
      </w:r>
      <w:r w:rsidR="006824E9">
        <w:t>related disorders</w:t>
      </w:r>
      <w:r w:rsidR="00F34588">
        <w:t>,</w:t>
      </w:r>
      <w:r w:rsidR="008F61F3">
        <w:t xml:space="preserve"> such as diabetes, stroke, </w:t>
      </w:r>
      <w:r w:rsidR="00480BAD">
        <w:t xml:space="preserve">and </w:t>
      </w:r>
      <w:r w:rsidR="008F61F3">
        <w:t>heart</w:t>
      </w:r>
      <w:r w:rsidR="00480BAD">
        <w:t xml:space="preserve"> organizations</w:t>
      </w:r>
      <w:r w:rsidR="008F61F3">
        <w:t>,</w:t>
      </w:r>
      <w:r w:rsidR="00F87176" w:rsidRPr="00B62337">
        <w:t xml:space="preserve"> to help </w:t>
      </w:r>
      <w:r w:rsidR="00F87176">
        <w:t>promote information about serv</w:t>
      </w:r>
      <w:r w:rsidR="00F87176" w:rsidRPr="00B62337">
        <w:t xml:space="preserve">ices and care </w:t>
      </w:r>
      <w:r w:rsidR="00F87176">
        <w:t>for those who have symptoms of dementia.</w:t>
      </w:r>
      <w:r w:rsidR="00F87176" w:rsidRPr="00B62337">
        <w:t xml:space="preserve"> </w:t>
      </w:r>
    </w:p>
    <w:p w:rsidR="00B13442" w:rsidRPr="00B13442" w:rsidRDefault="00B13442" w:rsidP="001D6901">
      <w:pPr>
        <w:jc w:val="both"/>
        <w:rPr>
          <w:rFonts w:eastAsia="Cambria"/>
        </w:rPr>
      </w:pPr>
    </w:p>
    <w:p w:rsidR="004B221A" w:rsidRDefault="00A730F9" w:rsidP="00074735">
      <w:pPr>
        <w:pStyle w:val="ListParagraph"/>
        <w:numPr>
          <w:ilvl w:val="0"/>
          <w:numId w:val="9"/>
        </w:numPr>
        <w:ind w:left="432" w:hanging="432"/>
        <w:jc w:val="both"/>
        <w:rPr>
          <w:rFonts w:eastAsia="Cambria"/>
        </w:rPr>
      </w:pPr>
      <w:r w:rsidRPr="00A047C6">
        <w:rPr>
          <w:spacing w:val="2"/>
        </w:rPr>
        <w:t>Foster the development of three awareness campaign</w:t>
      </w:r>
      <w:r w:rsidR="00FE03C8" w:rsidRPr="00A047C6">
        <w:rPr>
          <w:spacing w:val="2"/>
        </w:rPr>
        <w:t>s</w:t>
      </w:r>
      <w:r w:rsidRPr="00A047C6">
        <w:rPr>
          <w:spacing w:val="2"/>
        </w:rPr>
        <w:t xml:space="preserve"> to provide information about the earliest signs of dementia and to rebuke the stigma of Alzheimer’s disease and </w:t>
      </w:r>
      <w:r w:rsidR="00681368">
        <w:rPr>
          <w:spacing w:val="2"/>
        </w:rPr>
        <w:t>related disorders</w:t>
      </w:r>
      <w:r w:rsidRPr="00A047C6">
        <w:rPr>
          <w:spacing w:val="2"/>
        </w:rPr>
        <w:t xml:space="preserve">.  </w:t>
      </w:r>
      <w:r w:rsidR="00563BEC">
        <w:t xml:space="preserve">The campaigns </w:t>
      </w:r>
      <w:r w:rsidR="004B09FC">
        <w:t>will</w:t>
      </w:r>
      <w:r w:rsidR="00563BEC">
        <w:t xml:space="preserve"> include updates </w:t>
      </w:r>
      <w:r w:rsidR="00563BEC" w:rsidRPr="00B62337">
        <w:t>about current research and prevention trials that can delay progression</w:t>
      </w:r>
      <w:r w:rsidR="00563BEC">
        <w:t xml:space="preserve">, as well as information about how </w:t>
      </w:r>
      <w:r w:rsidR="00563BEC" w:rsidRPr="00B62337">
        <w:t xml:space="preserve">earlier diagnosis and intervention can lead to a more productive and valuable life. </w:t>
      </w:r>
      <w:r w:rsidR="00563BEC">
        <w:t xml:space="preserve"> </w:t>
      </w:r>
      <w:r w:rsidR="0036160B">
        <w:t>The campaigns will be designed to help citizens feel more supported, hopeful</w:t>
      </w:r>
      <w:r w:rsidR="00F34588">
        <w:t>,</w:t>
      </w:r>
      <w:r w:rsidR="0036160B">
        <w:t xml:space="preserve"> and likely to access available services.  </w:t>
      </w:r>
      <w:r w:rsidR="00563BEC">
        <w:t>The campaigns will be promoted</w:t>
      </w:r>
      <w:r w:rsidR="00563BEC" w:rsidRPr="00B62337">
        <w:t xml:space="preserve"> through television and radio advertisements, public</w:t>
      </w:r>
      <w:r w:rsidR="00563BEC">
        <w:t> </w:t>
      </w:r>
      <w:r w:rsidR="00563BEC" w:rsidRPr="00B62337">
        <w:t xml:space="preserve">service announcements, </w:t>
      </w:r>
      <w:r w:rsidR="00563BEC">
        <w:t xml:space="preserve">broadcast and print interviews, as well as </w:t>
      </w:r>
      <w:r w:rsidR="00563BEC" w:rsidRPr="00B62337">
        <w:t xml:space="preserve">articles in newspapers and magazines, website, and Internet </w:t>
      </w:r>
      <w:r w:rsidR="00563BEC">
        <w:t>venues</w:t>
      </w:r>
      <w:r w:rsidR="00563BEC" w:rsidRPr="00B62337">
        <w:t>.</w:t>
      </w:r>
      <w:r w:rsidR="00563BEC">
        <w:t xml:space="preserve">  </w:t>
      </w:r>
      <w:r w:rsidR="004B09FC">
        <w:t>The</w:t>
      </w:r>
      <w:r w:rsidR="00016863">
        <w:t xml:space="preserve"> respective</w:t>
      </w:r>
      <w:r w:rsidR="004B09FC">
        <w:t xml:space="preserve"> target audience</w:t>
      </w:r>
      <w:r w:rsidR="00016863">
        <w:t>s</w:t>
      </w:r>
      <w:r w:rsidR="004B09FC">
        <w:t xml:space="preserve"> for each public awareness campaign </w:t>
      </w:r>
      <w:r w:rsidR="00016863">
        <w:t>are</w:t>
      </w:r>
      <w:r w:rsidR="004B09FC">
        <w:t xml:space="preserve">: </w:t>
      </w:r>
    </w:p>
    <w:p w:rsidR="00B13442" w:rsidRDefault="00B13442" w:rsidP="001D6901">
      <w:pPr>
        <w:pStyle w:val="ListParagraph"/>
        <w:ind w:left="1080"/>
        <w:jc w:val="both"/>
        <w:rPr>
          <w:rFonts w:eastAsia="Cambria"/>
        </w:rPr>
      </w:pPr>
    </w:p>
    <w:p w:rsidR="004B221A" w:rsidRDefault="004B09FC" w:rsidP="001D6901">
      <w:pPr>
        <w:pStyle w:val="ListParagraph"/>
        <w:numPr>
          <w:ilvl w:val="1"/>
          <w:numId w:val="9"/>
        </w:numPr>
        <w:jc w:val="both"/>
        <w:rPr>
          <w:rFonts w:eastAsia="Cambria"/>
        </w:rPr>
      </w:pPr>
      <w:r>
        <w:rPr>
          <w:spacing w:val="2"/>
        </w:rPr>
        <w:t>A</w:t>
      </w:r>
      <w:r w:rsidR="00A730F9" w:rsidRPr="00A730F9">
        <w:rPr>
          <w:spacing w:val="2"/>
        </w:rPr>
        <w:t>llied health professionals, bankers, emergency first responders, financial planners, lawyers, and other</w:t>
      </w:r>
      <w:r w:rsidR="00563BEC">
        <w:rPr>
          <w:spacing w:val="2"/>
        </w:rPr>
        <w:t xml:space="preserve"> professionals who may have contact with persons with dementia</w:t>
      </w:r>
      <w:r w:rsidR="00A730F9" w:rsidRPr="00A730F9">
        <w:rPr>
          <w:spacing w:val="2"/>
        </w:rPr>
        <w:t xml:space="preserve">. </w:t>
      </w:r>
    </w:p>
    <w:p w:rsidR="004B221A" w:rsidRDefault="00A730F9" w:rsidP="001D6901">
      <w:pPr>
        <w:pStyle w:val="ListParagraph"/>
        <w:ind w:left="1080"/>
        <w:jc w:val="both"/>
        <w:rPr>
          <w:rFonts w:eastAsia="Cambria"/>
        </w:rPr>
      </w:pPr>
      <w:r w:rsidRPr="00A730F9">
        <w:rPr>
          <w:spacing w:val="2"/>
        </w:rPr>
        <w:t xml:space="preserve"> </w:t>
      </w:r>
    </w:p>
    <w:p w:rsidR="004B221A" w:rsidRDefault="004B09FC" w:rsidP="001D6901">
      <w:pPr>
        <w:pStyle w:val="ListParagraph"/>
        <w:numPr>
          <w:ilvl w:val="1"/>
          <w:numId w:val="9"/>
        </w:numPr>
        <w:jc w:val="both"/>
        <w:rPr>
          <w:rFonts w:eastAsia="Cambria"/>
        </w:rPr>
      </w:pPr>
      <w:r>
        <w:rPr>
          <w:rFonts w:eastAsia="Cambria"/>
        </w:rPr>
        <w:t>T</w:t>
      </w:r>
      <w:r w:rsidR="00563BEC">
        <w:rPr>
          <w:rFonts w:eastAsia="Cambria"/>
        </w:rPr>
        <w:t>he general public.</w:t>
      </w:r>
    </w:p>
    <w:p w:rsidR="004B221A" w:rsidRDefault="004B221A" w:rsidP="001D6901">
      <w:pPr>
        <w:jc w:val="both"/>
        <w:rPr>
          <w:rFonts w:eastAsia="Cambria"/>
        </w:rPr>
      </w:pPr>
    </w:p>
    <w:p w:rsidR="004B221A" w:rsidRDefault="004B09FC" w:rsidP="001D6901">
      <w:pPr>
        <w:pStyle w:val="ListParagraph"/>
        <w:numPr>
          <w:ilvl w:val="1"/>
          <w:numId w:val="9"/>
        </w:numPr>
        <w:jc w:val="both"/>
        <w:rPr>
          <w:rFonts w:eastAsia="Cambria"/>
        </w:rPr>
      </w:pPr>
      <w:r>
        <w:rPr>
          <w:spacing w:val="2"/>
        </w:rPr>
        <w:t>C</w:t>
      </w:r>
      <w:r w:rsidR="00563BEC">
        <w:rPr>
          <w:spacing w:val="2"/>
        </w:rPr>
        <w:t xml:space="preserve">aregivers and family members of persons with dementia.  </w:t>
      </w:r>
      <w:r w:rsidR="00F87176">
        <w:t>Th</w:t>
      </w:r>
      <w:r w:rsidR="00563BEC">
        <w:t>is</w:t>
      </w:r>
      <w:r w:rsidR="00F87176">
        <w:t xml:space="preserve"> campaign </w:t>
      </w:r>
      <w:r w:rsidR="00016863">
        <w:t>will</w:t>
      </w:r>
      <w:r w:rsidR="00F87176">
        <w:t xml:space="preserve"> focus on ways </w:t>
      </w:r>
      <w:r w:rsidR="0036160B" w:rsidRPr="00B62337">
        <w:t xml:space="preserve">to help alleviate the fear, stress, and </w:t>
      </w:r>
      <w:r w:rsidR="0036160B">
        <w:t>stigma surrounding</w:t>
      </w:r>
      <w:r w:rsidR="0036160B" w:rsidRPr="00B62337">
        <w:t xml:space="preserve"> </w:t>
      </w:r>
      <w:r w:rsidR="0036160B">
        <w:t xml:space="preserve">dementia </w:t>
      </w:r>
      <w:r w:rsidR="0036160B" w:rsidRPr="00B62337">
        <w:t>and the sense of isolation and aloneness that often accompanies the disease</w:t>
      </w:r>
      <w:r w:rsidR="0036160B">
        <w:t>.  This</w:t>
      </w:r>
      <w:r w:rsidR="004C78F0">
        <w:t> </w:t>
      </w:r>
      <w:r w:rsidR="0036160B">
        <w:t xml:space="preserve">includes </w:t>
      </w:r>
      <w:r w:rsidR="0036160B" w:rsidRPr="00B62337">
        <w:t xml:space="preserve">educating and informing caregivers about support group opportunities </w:t>
      </w:r>
      <w:r w:rsidR="0036160B">
        <w:t xml:space="preserve">and other available supportive services </w:t>
      </w:r>
      <w:r w:rsidR="0036160B" w:rsidRPr="00B62337">
        <w:t>that will help</w:t>
      </w:r>
      <w:r w:rsidR="0036160B">
        <w:t xml:space="preserve"> them </w:t>
      </w:r>
      <w:r w:rsidR="00016863">
        <w:t>care for</w:t>
      </w:r>
      <w:r w:rsidR="0036160B">
        <w:t xml:space="preserve"> themselves and their family member</w:t>
      </w:r>
      <w:r w:rsidR="0036160B" w:rsidRPr="00B62337">
        <w:t xml:space="preserve">.  </w:t>
      </w:r>
    </w:p>
    <w:p w:rsidR="00764EB5" w:rsidRPr="00B62337" w:rsidRDefault="005851BC" w:rsidP="00AB074D">
      <w:pPr>
        <w:jc w:val="both"/>
      </w:pPr>
      <w:r w:rsidRPr="00B62337">
        <w:rPr>
          <w:b/>
        </w:rPr>
        <w:lastRenderedPageBreak/>
        <w:t>Chapter 1</w:t>
      </w:r>
      <w:r w:rsidR="00764EB5" w:rsidRPr="00B62337">
        <w:t xml:space="preserve">: </w:t>
      </w:r>
      <w:r w:rsidR="009A279B">
        <w:t xml:space="preserve"> </w:t>
      </w:r>
      <w:r w:rsidR="00764EB5" w:rsidRPr="00B62337">
        <w:rPr>
          <w:b/>
        </w:rPr>
        <w:t>Introduction</w:t>
      </w:r>
    </w:p>
    <w:p w:rsidR="00764EB5" w:rsidRPr="00B62337" w:rsidRDefault="00764EB5" w:rsidP="00AB074D">
      <w:pPr>
        <w:jc w:val="both"/>
      </w:pPr>
    </w:p>
    <w:p w:rsidR="00873264" w:rsidRPr="00B62337" w:rsidRDefault="00AB074D" w:rsidP="00AB074D">
      <w:pPr>
        <w:jc w:val="both"/>
      </w:pPr>
      <w:r w:rsidRPr="00B62337">
        <w:t>In May 2011, Assembly Concurrent Resolution</w:t>
      </w:r>
      <w:r w:rsidR="009A279B">
        <w:t xml:space="preserve"> No.</w:t>
      </w:r>
      <w:r w:rsidRPr="00B62337">
        <w:t xml:space="preserve"> 10 </w:t>
      </w:r>
      <w:r w:rsidR="0073616F" w:rsidRPr="00B62337">
        <w:t>(</w:t>
      </w:r>
      <w:r w:rsidR="0073616F" w:rsidRPr="00B62337">
        <w:rPr>
          <w:bCs/>
        </w:rPr>
        <w:t xml:space="preserve">File No. 42, </w:t>
      </w:r>
      <w:r w:rsidR="0073616F" w:rsidRPr="00B62337">
        <w:rPr>
          <w:bCs/>
          <w:i/>
        </w:rPr>
        <w:t>Statutes of Nevada 2011)</w:t>
      </w:r>
      <w:r w:rsidR="0073616F" w:rsidRPr="00B62337">
        <w:rPr>
          <w:b/>
          <w:bCs/>
          <w:i/>
        </w:rPr>
        <w:t xml:space="preserve"> </w:t>
      </w:r>
      <w:r w:rsidR="009A279B">
        <w:rPr>
          <w:bCs/>
        </w:rPr>
        <w:t xml:space="preserve">(Appendix A) </w:t>
      </w:r>
      <w:r w:rsidRPr="00B62337">
        <w:t xml:space="preserve">created the </w:t>
      </w:r>
      <w:hyperlink r:id="rId9" w:history="1">
        <w:r w:rsidR="00B42D0E" w:rsidRPr="00B42D0E">
          <w:rPr>
            <w:rStyle w:val="Hyperlink"/>
          </w:rPr>
          <w:t>Legislative Committee on Health Care’s Task Force to Develop a State Plan to Address Alzheimer’s Disease</w:t>
        </w:r>
      </w:hyperlink>
      <w:r w:rsidR="00B42D0E">
        <w:t xml:space="preserve"> </w:t>
      </w:r>
      <w:r w:rsidR="009B1DA2">
        <w:t>(Task Force)</w:t>
      </w:r>
      <w:r w:rsidRPr="00B62337">
        <w:t xml:space="preserve">.  The Legislative Committee on Health Care appointed members to the Task Force from diverse disciplines to reflect the many areas </w:t>
      </w:r>
      <w:r w:rsidR="00712EB1" w:rsidRPr="00B62337">
        <w:t>affected</w:t>
      </w:r>
      <w:r w:rsidR="00873264" w:rsidRPr="00B62337">
        <w:t xml:space="preserve"> by Alzheimer’s </w:t>
      </w:r>
      <w:r w:rsidR="00480BAD">
        <w:t>d</w:t>
      </w:r>
      <w:r w:rsidR="00873264" w:rsidRPr="00B62337">
        <w:t xml:space="preserve">isease. </w:t>
      </w:r>
    </w:p>
    <w:p w:rsidR="00873264" w:rsidRPr="00B62337" w:rsidRDefault="00873264" w:rsidP="00AB074D">
      <w:pPr>
        <w:jc w:val="both"/>
      </w:pPr>
    </w:p>
    <w:p w:rsidR="00873264" w:rsidRPr="00B62337" w:rsidRDefault="00873264" w:rsidP="00873264">
      <w:pPr>
        <w:jc w:val="both"/>
      </w:pPr>
      <w:r w:rsidRPr="00B62337">
        <w:t>The members of the Task Force are:</w:t>
      </w:r>
    </w:p>
    <w:p w:rsidR="00873264" w:rsidRPr="00B62337" w:rsidRDefault="00873264" w:rsidP="00873264">
      <w:pPr>
        <w:jc w:val="both"/>
      </w:pPr>
    </w:p>
    <w:p w:rsidR="00CD5FD7" w:rsidRPr="00B62337" w:rsidRDefault="00CD5FD7" w:rsidP="000E08A8">
      <w:pPr>
        <w:ind w:left="720"/>
        <w:jc w:val="both"/>
      </w:pPr>
      <w:r w:rsidRPr="00B62337">
        <w:t>Senator Valerie Wiener, Chair</w:t>
      </w:r>
    </w:p>
    <w:p w:rsidR="00CD5FD7" w:rsidRPr="00B62337" w:rsidRDefault="00CD5FD7" w:rsidP="000E08A8">
      <w:pPr>
        <w:ind w:left="1080" w:hanging="360"/>
        <w:jc w:val="both"/>
      </w:pPr>
      <w:r>
        <w:t xml:space="preserve">Charles Bernick, M.D., </w:t>
      </w:r>
      <w:r w:rsidRPr="00E430DD">
        <w:rPr>
          <w:rFonts w:eastAsiaTheme="minorHAnsi"/>
        </w:rPr>
        <w:t xml:space="preserve">Associate Medical Director, </w:t>
      </w:r>
      <w:r>
        <w:rPr>
          <w:rFonts w:eastAsiaTheme="minorHAnsi"/>
        </w:rPr>
        <w:t xml:space="preserve">Cleveland </w:t>
      </w:r>
      <w:r w:rsidRPr="00E430DD">
        <w:rPr>
          <w:rFonts w:eastAsiaTheme="minorHAnsi"/>
        </w:rPr>
        <w:t>Clinic Lou Ruvo Center for Brain Health</w:t>
      </w:r>
    </w:p>
    <w:p w:rsidR="00CD5FD7" w:rsidRDefault="00CD5FD7" w:rsidP="000E08A8">
      <w:pPr>
        <w:ind w:left="1080" w:hanging="360"/>
        <w:jc w:val="both"/>
      </w:pPr>
      <w:r w:rsidRPr="00B62337">
        <w:t>Albert Chavez</w:t>
      </w:r>
      <w:r>
        <w:t>,</w:t>
      </w:r>
      <w:r w:rsidRPr="00B62337">
        <w:t xml:space="preserve"> Ed.S., CFLE</w:t>
      </w:r>
      <w:r>
        <w:t xml:space="preserve">, </w:t>
      </w:r>
      <w:r w:rsidRPr="003D3022">
        <w:rPr>
          <w:spacing w:val="-6"/>
        </w:rPr>
        <w:t>Regional Director, Southern Nevada Region,</w:t>
      </w:r>
      <w:r>
        <w:rPr>
          <w:spacing w:val="-6"/>
        </w:rPr>
        <w:t xml:space="preserve"> </w:t>
      </w:r>
      <w:r w:rsidRPr="003D3022">
        <w:rPr>
          <w:spacing w:val="-6"/>
        </w:rPr>
        <w:t>Desert</w:t>
      </w:r>
      <w:r w:rsidR="000E08A8">
        <w:rPr>
          <w:spacing w:val="-6"/>
        </w:rPr>
        <w:t> </w:t>
      </w:r>
      <w:r w:rsidRPr="003D3022">
        <w:rPr>
          <w:spacing w:val="-6"/>
        </w:rPr>
        <w:t>Southwest Chapter, Alzheimer’s Association</w:t>
      </w:r>
    </w:p>
    <w:p w:rsidR="00CD5FD7" w:rsidRPr="00B62337" w:rsidRDefault="00CD5FD7" w:rsidP="000E08A8">
      <w:pPr>
        <w:ind w:left="1080" w:hanging="360"/>
        <w:jc w:val="both"/>
      </w:pPr>
      <w:r w:rsidRPr="00B62337">
        <w:t>Virginia (Gini) L. Cunningham, M.Ed.</w:t>
      </w:r>
      <w:r>
        <w:t xml:space="preserve">, </w:t>
      </w:r>
      <w:r w:rsidRPr="00AF2254">
        <w:rPr>
          <w:spacing w:val="-6"/>
        </w:rPr>
        <w:t>Volunteer and Support Group Facilitator, Humboldt Volunteer Hospice and Alzh</w:t>
      </w:r>
      <w:r>
        <w:rPr>
          <w:spacing w:val="-6"/>
        </w:rPr>
        <w:t xml:space="preserve">eimer’s Association in Northern </w:t>
      </w:r>
      <w:r w:rsidRPr="00AF2254">
        <w:rPr>
          <w:spacing w:val="-6"/>
        </w:rPr>
        <w:t>Nevada</w:t>
      </w:r>
    </w:p>
    <w:p w:rsidR="00CD5FD7" w:rsidRPr="004106B9" w:rsidRDefault="00CD5FD7" w:rsidP="000E08A8">
      <w:pPr>
        <w:ind w:left="1080" w:hanging="360"/>
        <w:jc w:val="both"/>
        <w:rPr>
          <w:rFonts w:eastAsiaTheme="minorHAnsi"/>
        </w:rPr>
      </w:pPr>
      <w:r w:rsidRPr="00B62337">
        <w:t>Ruth Gay, M.S.</w:t>
      </w:r>
      <w:r>
        <w:t xml:space="preserve">, </w:t>
      </w:r>
      <w:r w:rsidRPr="004106B9">
        <w:rPr>
          <w:rFonts w:eastAsiaTheme="minorHAnsi"/>
        </w:rPr>
        <w:t>Director, Public Policy and Advocacy, East Bay Office Site Director, Northern California and Northern Nevada Chapter, Alzheimer’s Association</w:t>
      </w:r>
    </w:p>
    <w:p w:rsidR="00CD5FD7" w:rsidRPr="00210C43" w:rsidRDefault="00CD5FD7" w:rsidP="000E08A8">
      <w:pPr>
        <w:ind w:left="1080" w:hanging="360"/>
        <w:jc w:val="both"/>
        <w:rPr>
          <w:rFonts w:eastAsiaTheme="minorHAnsi"/>
        </w:rPr>
      </w:pPr>
      <w:r w:rsidRPr="00B62337">
        <w:t>Sandra Owens, L.C.S</w:t>
      </w:r>
      <w:r>
        <w:t>.</w:t>
      </w:r>
      <w:r w:rsidRPr="00B62337">
        <w:t>W</w:t>
      </w:r>
      <w:r>
        <w:t>.,</w:t>
      </w:r>
      <w:r w:rsidRPr="00B62337">
        <w:t xml:space="preserve"> </w:t>
      </w:r>
      <w:r>
        <w:t xml:space="preserve">Ph.D., </w:t>
      </w:r>
      <w:r w:rsidRPr="00210C43">
        <w:rPr>
          <w:rFonts w:eastAsiaTheme="minorHAnsi"/>
          <w:spacing w:val="-6"/>
        </w:rPr>
        <w:t>Associate Professor, School of Social Work</w:t>
      </w:r>
      <w:r w:rsidRPr="00210C43">
        <w:rPr>
          <w:rFonts w:eastAsiaTheme="minorHAnsi"/>
        </w:rPr>
        <w:t>, University of Nevada, Las Vegas</w:t>
      </w:r>
    </w:p>
    <w:p w:rsidR="00CD5FD7" w:rsidRPr="00B62337" w:rsidRDefault="00CD5FD7" w:rsidP="000E08A8">
      <w:pPr>
        <w:ind w:left="1080" w:hanging="360"/>
        <w:jc w:val="both"/>
      </w:pPr>
      <w:r w:rsidRPr="00B62337">
        <w:t>Wendy Simons, Chief, Bureau of Health Care Quality and Compliance</w:t>
      </w:r>
      <w:r>
        <w:t>, Department of Health and Human Services</w:t>
      </w:r>
      <w:r w:rsidRPr="00B62337">
        <w:t xml:space="preserve"> </w:t>
      </w:r>
    </w:p>
    <w:p w:rsidR="00873264" w:rsidRPr="00B62337" w:rsidRDefault="00873264" w:rsidP="00873264">
      <w:pPr>
        <w:rPr>
          <w:b/>
          <w:bCs/>
        </w:rPr>
      </w:pPr>
    </w:p>
    <w:p w:rsidR="00873264" w:rsidRPr="00B62337" w:rsidRDefault="00B6503A" w:rsidP="00EC0515">
      <w:pPr>
        <w:jc w:val="both"/>
      </w:pPr>
      <w:r w:rsidRPr="00B62337">
        <w:rPr>
          <w:bCs/>
        </w:rPr>
        <w:t xml:space="preserve">Two alternates for each member of the Task Force were designated.  Please see </w:t>
      </w:r>
      <w:r w:rsidR="0073616F" w:rsidRPr="00B62337">
        <w:rPr>
          <w:bCs/>
        </w:rPr>
        <w:t>Appendix B</w:t>
      </w:r>
      <w:r w:rsidRPr="00B62337">
        <w:rPr>
          <w:b/>
          <w:bCs/>
        </w:rPr>
        <w:t xml:space="preserve"> </w:t>
      </w:r>
      <w:r w:rsidRPr="00B62337">
        <w:rPr>
          <w:bCs/>
        </w:rPr>
        <w:t xml:space="preserve">for the </w:t>
      </w:r>
      <w:r w:rsidR="004A44DD">
        <w:rPr>
          <w:bCs/>
        </w:rPr>
        <w:t>“</w:t>
      </w:r>
      <w:hyperlink r:id="rId10" w:history="1">
        <w:r w:rsidR="00873264" w:rsidRPr="004A44DD">
          <w:rPr>
            <w:rFonts w:eastAsia="Calibri"/>
          </w:rPr>
          <w:t>Designation of Alternates</w:t>
        </w:r>
      </w:hyperlink>
      <w:r w:rsidRPr="00B62337">
        <w:rPr>
          <w:rFonts w:eastAsia="Calibri"/>
        </w:rPr>
        <w:t>.</w:t>
      </w:r>
      <w:r w:rsidR="004A44DD">
        <w:rPr>
          <w:rFonts w:eastAsia="Calibri"/>
        </w:rPr>
        <w:t>”</w:t>
      </w:r>
      <w:r w:rsidRPr="00B62337">
        <w:rPr>
          <w:rFonts w:eastAsia="Calibri"/>
        </w:rPr>
        <w:t xml:space="preserve">  </w:t>
      </w:r>
    </w:p>
    <w:p w:rsidR="009C564F" w:rsidRPr="00B62337" w:rsidRDefault="009C564F" w:rsidP="009C564F">
      <w:pPr>
        <w:jc w:val="both"/>
      </w:pPr>
    </w:p>
    <w:p w:rsidR="0073616F" w:rsidRPr="00B62337" w:rsidRDefault="004D6AE6" w:rsidP="009C564F">
      <w:pPr>
        <w:jc w:val="both"/>
      </w:pPr>
      <w:r w:rsidRPr="00B62337">
        <w:t xml:space="preserve">Professional and </w:t>
      </w:r>
      <w:r w:rsidR="009A279B">
        <w:t>s</w:t>
      </w:r>
      <w:r w:rsidR="0073616F" w:rsidRPr="00B62337">
        <w:t xml:space="preserve">taff services were provided by: </w:t>
      </w:r>
    </w:p>
    <w:p w:rsidR="0073616F" w:rsidRPr="00B62337" w:rsidRDefault="0073616F" w:rsidP="009C564F">
      <w:pPr>
        <w:jc w:val="both"/>
      </w:pPr>
    </w:p>
    <w:p w:rsidR="009C564F" w:rsidRPr="00B62337" w:rsidRDefault="009C564F" w:rsidP="00F91261">
      <w:pPr>
        <w:ind w:left="720"/>
        <w:jc w:val="both"/>
      </w:pPr>
      <w:r w:rsidRPr="00B62337">
        <w:t xml:space="preserve">Casey Catlin, </w:t>
      </w:r>
      <w:r w:rsidR="0008062A">
        <w:t xml:space="preserve">M.A., </w:t>
      </w:r>
      <w:r w:rsidRPr="00B62337">
        <w:t>Doctoral Student, U</w:t>
      </w:r>
      <w:r w:rsidR="004D6AE6" w:rsidRPr="00B62337">
        <w:t>niversity of Nevada</w:t>
      </w:r>
      <w:r w:rsidR="0073616F" w:rsidRPr="00B62337">
        <w:t>,</w:t>
      </w:r>
      <w:r w:rsidR="004D6AE6" w:rsidRPr="00B62337">
        <w:t xml:space="preserve"> Reno,</w:t>
      </w:r>
      <w:r w:rsidR="0073616F" w:rsidRPr="00B62337">
        <w:t xml:space="preserve"> State Plan Drafter</w:t>
      </w:r>
    </w:p>
    <w:p w:rsidR="009A279B" w:rsidRDefault="00873264" w:rsidP="00F91261">
      <w:pPr>
        <w:ind w:left="1080" w:hanging="360"/>
        <w:jc w:val="both"/>
      </w:pPr>
      <w:r w:rsidRPr="00B62337">
        <w:t>Roger McClellan, Health Care Policy Specialist</w:t>
      </w:r>
      <w:r w:rsidR="00B6503A" w:rsidRPr="00B62337">
        <w:t xml:space="preserve">, </w:t>
      </w:r>
      <w:r w:rsidR="009C564F" w:rsidRPr="00B62337">
        <w:t>Research Division</w:t>
      </w:r>
      <w:r w:rsidR="0073616F" w:rsidRPr="00B62337">
        <w:t>, Legislative Counsel Bureau</w:t>
      </w:r>
      <w:r w:rsidR="009A279B">
        <w:t xml:space="preserve"> (LCB)</w:t>
      </w:r>
    </w:p>
    <w:p w:rsidR="009C564F" w:rsidRPr="00B62337" w:rsidRDefault="00873264" w:rsidP="00F91261">
      <w:pPr>
        <w:ind w:left="1080" w:hanging="360"/>
        <w:jc w:val="both"/>
      </w:pPr>
      <w:r w:rsidRPr="00B62337">
        <w:t>Marsheilah D. Lyons, Supervising Principal Research Analyst</w:t>
      </w:r>
      <w:r w:rsidR="009C564F" w:rsidRPr="00B62337">
        <w:t>, Research Division</w:t>
      </w:r>
      <w:r w:rsidR="0073616F" w:rsidRPr="00B62337">
        <w:t xml:space="preserve">, </w:t>
      </w:r>
      <w:r w:rsidR="009A279B">
        <w:t>LCB</w:t>
      </w:r>
    </w:p>
    <w:p w:rsidR="00873264" w:rsidRPr="00B62337" w:rsidRDefault="00873264" w:rsidP="00F91261">
      <w:pPr>
        <w:ind w:left="720"/>
        <w:jc w:val="both"/>
      </w:pPr>
      <w:r w:rsidRPr="00B62337">
        <w:t xml:space="preserve">Lisa Gardner, </w:t>
      </w:r>
      <w:r w:rsidR="00790F21">
        <w:t xml:space="preserve">Senior Research </w:t>
      </w:r>
      <w:r w:rsidRPr="00B62337">
        <w:t>Secretary</w:t>
      </w:r>
      <w:r w:rsidR="009C564F" w:rsidRPr="00B62337">
        <w:t>, Research Division</w:t>
      </w:r>
      <w:r w:rsidR="0073616F" w:rsidRPr="00B62337">
        <w:t xml:space="preserve">, </w:t>
      </w:r>
      <w:r w:rsidR="00F91261">
        <w:t>LCB</w:t>
      </w:r>
    </w:p>
    <w:p w:rsidR="00873264" w:rsidRPr="00B62337" w:rsidRDefault="00873264" w:rsidP="00AB074D">
      <w:pPr>
        <w:jc w:val="both"/>
      </w:pPr>
    </w:p>
    <w:p w:rsidR="00712EB1" w:rsidRPr="0050747D" w:rsidRDefault="00DD5869" w:rsidP="007B11AA">
      <w:pPr>
        <w:keepNext/>
        <w:jc w:val="both"/>
        <w:rPr>
          <w:u w:val="single"/>
        </w:rPr>
      </w:pPr>
      <w:r w:rsidRPr="0050747D">
        <w:rPr>
          <w:u w:val="single"/>
        </w:rPr>
        <w:t>Brief Review of Task Force Functions and Meetings</w:t>
      </w:r>
    </w:p>
    <w:p w:rsidR="00DD5869" w:rsidRPr="00B62337" w:rsidRDefault="00DD5869" w:rsidP="007B11AA">
      <w:pPr>
        <w:keepNext/>
        <w:jc w:val="both"/>
      </w:pPr>
    </w:p>
    <w:p w:rsidR="00AB074D" w:rsidRPr="00B62337" w:rsidRDefault="00AB074D" w:rsidP="007B11AA">
      <w:pPr>
        <w:keepNext/>
        <w:jc w:val="both"/>
      </w:pPr>
      <w:r w:rsidRPr="00B62337">
        <w:t xml:space="preserve">Experts in </w:t>
      </w:r>
      <w:r w:rsidR="00F91261" w:rsidRPr="00B62337">
        <w:t xml:space="preserve">medicine, nursing, psychology, public policy, </w:t>
      </w:r>
      <w:r w:rsidRPr="00B62337">
        <w:t>social work, and related disciplines were called to provide testimony.</w:t>
      </w:r>
      <w:r w:rsidR="00F91261">
        <w:t xml:space="preserve"> </w:t>
      </w:r>
      <w:r w:rsidR="00873264" w:rsidRPr="00B62337">
        <w:t xml:space="preserve"> The Task Force gathered information about existing services and gaps and made recommendations for the State Plan.</w:t>
      </w:r>
    </w:p>
    <w:p w:rsidR="00AB074D" w:rsidRPr="00B62337" w:rsidRDefault="00AB074D" w:rsidP="00AB074D">
      <w:pPr>
        <w:ind w:firstLine="720"/>
        <w:jc w:val="both"/>
      </w:pPr>
    </w:p>
    <w:p w:rsidR="00AB074D" w:rsidRPr="00B62337" w:rsidRDefault="00AB074D" w:rsidP="00AB074D">
      <w:pPr>
        <w:jc w:val="both"/>
      </w:pPr>
      <w:r w:rsidRPr="00B62337">
        <w:t xml:space="preserve">Three working groups were created to </w:t>
      </w:r>
      <w:r w:rsidR="009A61DA">
        <w:t>meet</w:t>
      </w:r>
      <w:r w:rsidRPr="00B62337">
        <w:t xml:space="preserve"> and provide input in the following areas:  </w:t>
      </w:r>
      <w:r w:rsidR="00F91261">
        <w:t>(1) </w:t>
      </w:r>
      <w:r w:rsidRPr="00B62337">
        <w:t xml:space="preserve">Access to Services; </w:t>
      </w:r>
      <w:r w:rsidR="00F91261">
        <w:t xml:space="preserve">(2) </w:t>
      </w:r>
      <w:r w:rsidRPr="00B62337">
        <w:t xml:space="preserve">Quality of Care and Regulation; and </w:t>
      </w:r>
      <w:r w:rsidR="00F91261">
        <w:t xml:space="preserve">(3) </w:t>
      </w:r>
      <w:r w:rsidRPr="00B62337">
        <w:t>Impact on the State, Safety, and Independence.</w:t>
      </w:r>
    </w:p>
    <w:p w:rsidR="00AB074D" w:rsidRPr="00B62337" w:rsidRDefault="00AB074D" w:rsidP="00AB074D">
      <w:pPr>
        <w:ind w:firstLine="720"/>
        <w:jc w:val="both"/>
      </w:pPr>
    </w:p>
    <w:p w:rsidR="00C8459E" w:rsidRDefault="00AB074D" w:rsidP="00AB074D">
      <w:pPr>
        <w:jc w:val="both"/>
      </w:pPr>
      <w:r w:rsidRPr="00B62337">
        <w:lastRenderedPageBreak/>
        <w:t xml:space="preserve">The Task Force met five times between June and October 2012.  All public hearings were conducted through simultaneous videoconferences between legislative meeting rooms at the Grant Sawyer State Office Building in Las Vegas, Nevada, </w:t>
      </w:r>
      <w:r w:rsidR="00842B21">
        <w:t>and the Legislative Building in </w:t>
      </w:r>
      <w:r w:rsidRPr="00B62337">
        <w:t>Carson City, Nevada.  In addition, each meeting pr</w:t>
      </w:r>
      <w:r w:rsidR="00842B21">
        <w:t xml:space="preserve">ovided time for public comment. </w:t>
      </w:r>
      <w:r w:rsidRPr="00B62337">
        <w:t xml:space="preserve"> </w:t>
      </w:r>
      <w:r w:rsidR="009A61DA" w:rsidRPr="00AD3A74">
        <w:rPr>
          <w:spacing w:val="-3"/>
        </w:rPr>
        <w:t>C</w:t>
      </w:r>
      <w:r w:rsidR="00802C57" w:rsidRPr="00AD3A74">
        <w:rPr>
          <w:spacing w:val="-3"/>
        </w:rPr>
        <w:t xml:space="preserve">aregivers, educators, health care professionals, </w:t>
      </w:r>
      <w:r w:rsidRPr="00AD3A74">
        <w:rPr>
          <w:spacing w:val="-3"/>
        </w:rPr>
        <w:t>working groups, and other members of the</w:t>
      </w:r>
      <w:r w:rsidR="00842B21">
        <w:rPr>
          <w:spacing w:val="-3"/>
        </w:rPr>
        <w:t> </w:t>
      </w:r>
      <w:r w:rsidRPr="00AD3A74">
        <w:rPr>
          <w:spacing w:val="-3"/>
        </w:rPr>
        <w:t xml:space="preserve">public provided input and recommendations </w:t>
      </w:r>
      <w:r w:rsidR="00F34588">
        <w:rPr>
          <w:spacing w:val="-3"/>
        </w:rPr>
        <w:t xml:space="preserve">for consideration </w:t>
      </w:r>
      <w:r w:rsidRPr="00AD3A74">
        <w:rPr>
          <w:spacing w:val="-3"/>
        </w:rPr>
        <w:t>to the Task Force</w:t>
      </w:r>
      <w:r w:rsidR="00F34588">
        <w:rPr>
          <w:spacing w:val="-3"/>
        </w:rPr>
        <w:t>.</w:t>
      </w:r>
      <w:r w:rsidRPr="00AD3A74">
        <w:rPr>
          <w:spacing w:val="-3"/>
        </w:rPr>
        <w:t xml:space="preserve">  At</w:t>
      </w:r>
      <w:r w:rsidR="00044DAB">
        <w:rPr>
          <w:spacing w:val="-3"/>
        </w:rPr>
        <w:t xml:space="preserve"> </w:t>
      </w:r>
      <w:r w:rsidRPr="00AD3A74">
        <w:rPr>
          <w:spacing w:val="-3"/>
        </w:rPr>
        <w:t>the fourth</w:t>
      </w:r>
      <w:r w:rsidR="00842B21">
        <w:rPr>
          <w:spacing w:val="-3"/>
        </w:rPr>
        <w:t xml:space="preserve"> </w:t>
      </w:r>
      <w:r w:rsidRPr="00AD3A74">
        <w:rPr>
          <w:spacing w:val="-3"/>
        </w:rPr>
        <w:t>meeting, members adopted several recommendations and goals for inclusion in the</w:t>
      </w:r>
      <w:r w:rsidR="00044DAB">
        <w:rPr>
          <w:spacing w:val="4"/>
        </w:rPr>
        <w:t> </w:t>
      </w:r>
      <w:r w:rsidRPr="00802C57">
        <w:rPr>
          <w:spacing w:val="4"/>
        </w:rPr>
        <w:t>State</w:t>
      </w:r>
      <w:r w:rsidR="00044DAB">
        <w:rPr>
          <w:spacing w:val="4"/>
        </w:rPr>
        <w:t> </w:t>
      </w:r>
      <w:r w:rsidRPr="00802C57">
        <w:rPr>
          <w:spacing w:val="4"/>
        </w:rPr>
        <w:t>Plan.  At the fifth meeting, members conducted a work session in which they adopted the State Plan and a recommendation for legislation.</w:t>
      </w:r>
      <w:r w:rsidR="003517D1">
        <w:rPr>
          <w:spacing w:val="4"/>
        </w:rPr>
        <w:t xml:space="preserve">  </w:t>
      </w:r>
      <w:r w:rsidR="00A46EEB">
        <w:rPr>
          <w:spacing w:val="4"/>
        </w:rPr>
        <w:t>It should be noted that funding sources for the recommendations are suggested but not limited to those enumerated in the report.</w:t>
      </w:r>
      <w:r w:rsidR="00C8459E" w:rsidRPr="00C8459E">
        <w:t xml:space="preserve"> </w:t>
      </w:r>
    </w:p>
    <w:p w:rsidR="00C8459E" w:rsidRDefault="00C8459E" w:rsidP="00AB074D">
      <w:pPr>
        <w:jc w:val="both"/>
      </w:pPr>
    </w:p>
    <w:p w:rsidR="00C8459E" w:rsidRDefault="00C8459E" w:rsidP="00C8459E">
      <w:pPr>
        <w:autoSpaceDE w:val="0"/>
        <w:autoSpaceDN w:val="0"/>
        <w:adjustRightInd w:val="0"/>
        <w:jc w:val="both"/>
      </w:pPr>
      <w:r>
        <w:t>During the 2013 Legislative session, the Task Force on Alzheimer’s Disease was created within the Department of Health and Human Services.  Mike Willden, Director of the DHHS, appointed eight members to the Task Force during the first quarter following the close of the 2013 Legislative session and assigned Aging and Disability Services Division staff</w:t>
      </w:r>
      <w:r w:rsidRPr="0066776E">
        <w:t xml:space="preserve"> the responsibility to administratively support th</w:t>
      </w:r>
      <w:r>
        <w:t>e TFAD.</w:t>
      </w:r>
      <w:r w:rsidRPr="0066776E">
        <w:t xml:space="preserve"> Nevada’s </w:t>
      </w:r>
      <w:r w:rsidRPr="0066776E">
        <w:rPr>
          <w:bCs/>
        </w:rPr>
        <w:t>Legislative</w:t>
      </w:r>
      <w:r w:rsidRPr="00D31EFD">
        <w:rPr>
          <w:bCs/>
          <w:color w:val="333333"/>
        </w:rPr>
        <w:t xml:space="preserve"> </w:t>
      </w:r>
      <w:r>
        <w:rPr>
          <w:bCs/>
          <w:color w:val="333333"/>
        </w:rPr>
        <w:t>Commission appointed</w:t>
      </w:r>
      <w:r>
        <w:t xml:space="preserve"> two members, representing the Senate and the Assembly, to the TFAD.</w:t>
      </w:r>
      <w:r w:rsidRPr="00C8459E">
        <w:t xml:space="preserve"> </w:t>
      </w:r>
    </w:p>
    <w:p w:rsidR="00C8459E" w:rsidRDefault="00C8459E" w:rsidP="00C8459E">
      <w:pPr>
        <w:autoSpaceDE w:val="0"/>
        <w:autoSpaceDN w:val="0"/>
        <w:adjustRightInd w:val="0"/>
        <w:jc w:val="both"/>
      </w:pPr>
    </w:p>
    <w:p w:rsidR="00C8459E" w:rsidRDefault="00C8459E" w:rsidP="00C8459E">
      <w:pPr>
        <w:autoSpaceDE w:val="0"/>
        <w:autoSpaceDN w:val="0"/>
        <w:adjustRightInd w:val="0"/>
        <w:jc w:val="both"/>
      </w:pPr>
      <w:r>
        <w:t>The duties of the TFAD are noted below.</w:t>
      </w:r>
    </w:p>
    <w:p w:rsidR="00C8459E" w:rsidRDefault="00C8459E" w:rsidP="00C8459E">
      <w:pPr>
        <w:autoSpaceDE w:val="0"/>
        <w:autoSpaceDN w:val="0"/>
        <w:adjustRightInd w:val="0"/>
        <w:jc w:val="both"/>
      </w:pPr>
    </w:p>
    <w:p w:rsidR="00C8459E" w:rsidRDefault="00C8459E" w:rsidP="00C8459E">
      <w:pPr>
        <w:autoSpaceDE w:val="0"/>
        <w:autoSpaceDN w:val="0"/>
        <w:adjustRightInd w:val="0"/>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6.9pt;width:376.85pt;height:204.5pt;z-index:251660288;mso-position-horizontal:center;mso-width-relative:margin;mso-height-relative:margin" strokeweight="1.5pt">
            <v:textbox style="mso-next-textbox:#_x0000_s1026">
              <w:txbxContent>
                <w:p w:rsidR="00485385" w:rsidRDefault="00485385" w:rsidP="00C8459E">
                  <w:pPr>
                    <w:autoSpaceDE w:val="0"/>
                    <w:autoSpaceDN w:val="0"/>
                    <w:adjustRightInd w:val="0"/>
                    <w:ind w:right="2880"/>
                    <w:rPr>
                      <w:b/>
                      <w:lang/>
                    </w:rPr>
                  </w:pPr>
                  <w:r>
                    <w:rPr>
                      <w:b/>
                      <w:lang/>
                    </w:rPr>
                    <w:t>NRS 439.5085</w:t>
                  </w:r>
                </w:p>
                <w:p w:rsidR="00485385" w:rsidRDefault="00485385" w:rsidP="00C8459E">
                  <w:pPr>
                    <w:autoSpaceDE w:val="0"/>
                    <w:autoSpaceDN w:val="0"/>
                    <w:adjustRightInd w:val="0"/>
                    <w:ind w:right="90"/>
                    <w:rPr>
                      <w:b/>
                      <w:bCs/>
                      <w:color w:val="000000"/>
                    </w:rPr>
                  </w:pPr>
                </w:p>
                <w:p w:rsidR="00485385" w:rsidRPr="00266461" w:rsidRDefault="00485385" w:rsidP="00C8459E">
                  <w:pPr>
                    <w:autoSpaceDE w:val="0"/>
                    <w:autoSpaceDN w:val="0"/>
                    <w:adjustRightInd w:val="0"/>
                    <w:ind w:right="90"/>
                    <w:rPr>
                      <w:b/>
                      <w:bCs/>
                      <w:i/>
                      <w:iCs/>
                    </w:rPr>
                  </w:pPr>
                  <w:r w:rsidRPr="00266461">
                    <w:rPr>
                      <w:b/>
                      <w:bCs/>
                      <w:i/>
                      <w:iCs/>
                    </w:rPr>
                    <w:t>The Task Force shall:</w:t>
                  </w:r>
                </w:p>
                <w:p w:rsidR="00485385" w:rsidRPr="00266461" w:rsidRDefault="00485385" w:rsidP="00C8459E">
                  <w:pPr>
                    <w:autoSpaceDE w:val="0"/>
                    <w:autoSpaceDN w:val="0"/>
                    <w:adjustRightInd w:val="0"/>
                    <w:ind w:right="90"/>
                    <w:rPr>
                      <w:b/>
                      <w:bCs/>
                      <w:i/>
                      <w:iCs/>
                    </w:rPr>
                  </w:pPr>
                  <w:r w:rsidRPr="00266461">
                    <w:rPr>
                      <w:b/>
                      <w:bCs/>
                      <w:i/>
                      <w:iCs/>
                    </w:rPr>
                    <w:t>(a) Develop a state plan to address Alzheimer’s disease;</w:t>
                  </w:r>
                </w:p>
                <w:p w:rsidR="00485385" w:rsidRPr="00266461" w:rsidRDefault="00485385" w:rsidP="00C8459E">
                  <w:pPr>
                    <w:autoSpaceDE w:val="0"/>
                    <w:autoSpaceDN w:val="0"/>
                    <w:adjustRightInd w:val="0"/>
                    <w:ind w:right="90"/>
                    <w:rPr>
                      <w:b/>
                      <w:bCs/>
                      <w:i/>
                      <w:iCs/>
                    </w:rPr>
                  </w:pPr>
                  <w:r w:rsidRPr="00266461">
                    <w:rPr>
                      <w:b/>
                      <w:bCs/>
                      <w:i/>
                      <w:iCs/>
                    </w:rPr>
                    <w:t>(b) Monitor the progress in carrying out the state plan;</w:t>
                  </w:r>
                </w:p>
                <w:p w:rsidR="00485385" w:rsidRPr="00266461" w:rsidRDefault="00485385" w:rsidP="00C8459E">
                  <w:pPr>
                    <w:autoSpaceDE w:val="0"/>
                    <w:autoSpaceDN w:val="0"/>
                    <w:adjustRightInd w:val="0"/>
                    <w:ind w:right="90"/>
                    <w:rPr>
                      <w:b/>
                      <w:bCs/>
                      <w:i/>
                      <w:iCs/>
                    </w:rPr>
                  </w:pPr>
                  <w:r w:rsidRPr="00266461">
                    <w:rPr>
                      <w:b/>
                      <w:bCs/>
                      <w:i/>
                      <w:iCs/>
                    </w:rPr>
                    <w:t>(c) Review and revise the state plan as necessary;</w:t>
                  </w:r>
                </w:p>
                <w:p w:rsidR="00485385" w:rsidRPr="00266461" w:rsidRDefault="00485385" w:rsidP="00C8459E">
                  <w:pPr>
                    <w:autoSpaceDE w:val="0"/>
                    <w:autoSpaceDN w:val="0"/>
                    <w:adjustRightInd w:val="0"/>
                    <w:ind w:right="90"/>
                    <w:rPr>
                      <w:b/>
                      <w:bCs/>
                      <w:i/>
                      <w:iCs/>
                    </w:rPr>
                  </w:pPr>
                  <w:r w:rsidRPr="00266461">
                    <w:rPr>
                      <w:b/>
                      <w:bCs/>
                      <w:i/>
                      <w:iCs/>
                    </w:rPr>
                    <w:t>(d) Develop and prioritize the actions necessary to carry out the state plan;</w:t>
                  </w:r>
                </w:p>
                <w:p w:rsidR="00485385" w:rsidRPr="00266461" w:rsidRDefault="00485385" w:rsidP="00C8459E">
                  <w:pPr>
                    <w:autoSpaceDE w:val="0"/>
                    <w:autoSpaceDN w:val="0"/>
                    <w:adjustRightInd w:val="0"/>
                    <w:ind w:right="90"/>
                    <w:rPr>
                      <w:b/>
                      <w:bCs/>
                      <w:i/>
                      <w:iCs/>
                    </w:rPr>
                  </w:pPr>
                  <w:r w:rsidRPr="00266461">
                    <w:rPr>
                      <w:b/>
                      <w:bCs/>
                      <w:i/>
                      <w:iCs/>
                    </w:rPr>
                    <w:t>(e) Research and review any other issues that are relevant to Alzheimer’s disease; and</w:t>
                  </w:r>
                </w:p>
                <w:p w:rsidR="00485385" w:rsidRPr="00266461" w:rsidRDefault="00485385" w:rsidP="00C8459E">
                  <w:pPr>
                    <w:autoSpaceDE w:val="0"/>
                    <w:autoSpaceDN w:val="0"/>
                    <w:adjustRightInd w:val="0"/>
                    <w:ind w:right="90"/>
                    <w:rPr>
                      <w:b/>
                      <w:bCs/>
                      <w:i/>
                      <w:iCs/>
                    </w:rPr>
                  </w:pPr>
                  <w:r w:rsidRPr="00266461">
                    <w:rPr>
                      <w:b/>
                      <w:bCs/>
                      <w:i/>
                      <w:iCs/>
                    </w:rPr>
                    <w:t>(f) On or before February 1 of each year, prepare and submit a report to the Governor and to the Director of the Legislative Counsel Bureau for transmittal to the Legislature concerning its findings and</w:t>
                  </w:r>
                  <w:r>
                    <w:rPr>
                      <w:b/>
                      <w:bCs/>
                      <w:i/>
                      <w:iCs/>
                    </w:rPr>
                    <w:t xml:space="preserve"> r</w:t>
                  </w:r>
                  <w:r w:rsidRPr="00266461">
                    <w:rPr>
                      <w:b/>
                      <w:bCs/>
                      <w:i/>
                      <w:iCs/>
                    </w:rPr>
                    <w:t>ecommendations.</w:t>
                  </w:r>
                </w:p>
                <w:p w:rsidR="00485385" w:rsidRDefault="00485385" w:rsidP="00C8459E">
                  <w:pPr>
                    <w:jc w:val="center"/>
                  </w:pPr>
                </w:p>
              </w:txbxContent>
            </v:textbox>
          </v:shape>
        </w:pict>
      </w: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tabs>
          <w:tab w:val="left" w:pos="720"/>
        </w:tabs>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8459E" w:rsidRDefault="00C8459E" w:rsidP="00C8459E">
      <w:pPr>
        <w:autoSpaceDE w:val="0"/>
        <w:autoSpaceDN w:val="0"/>
        <w:adjustRightInd w:val="0"/>
        <w:jc w:val="center"/>
      </w:pPr>
    </w:p>
    <w:p w:rsidR="00C95C18" w:rsidRDefault="00C95C18" w:rsidP="00AB074D">
      <w:pPr>
        <w:jc w:val="both"/>
        <w:rPr>
          <w:u w:val="single"/>
        </w:rPr>
      </w:pPr>
    </w:p>
    <w:p w:rsidR="00AB074D" w:rsidRPr="0050747D" w:rsidRDefault="00AB074D" w:rsidP="00AB074D">
      <w:pPr>
        <w:jc w:val="both"/>
        <w:rPr>
          <w:u w:val="single"/>
        </w:rPr>
      </w:pPr>
      <w:r w:rsidRPr="0050747D">
        <w:rPr>
          <w:u w:val="single"/>
        </w:rPr>
        <w:t>What is Alzheimer’s Disease?</w:t>
      </w:r>
    </w:p>
    <w:p w:rsidR="00AB074D" w:rsidRPr="00B62337" w:rsidRDefault="00AB074D" w:rsidP="00AB074D">
      <w:pPr>
        <w:jc w:val="both"/>
        <w:rPr>
          <w:b/>
        </w:rPr>
      </w:pPr>
    </w:p>
    <w:p w:rsidR="00AB074D" w:rsidRPr="00B62337" w:rsidRDefault="00AB074D" w:rsidP="00AB074D">
      <w:pPr>
        <w:jc w:val="both"/>
      </w:pPr>
      <w:r w:rsidRPr="00B62337">
        <w:t xml:space="preserve">Dementia is an umbrella term for a number of distinct neurological diseases caused by plaques and neurofibrillary tangles, strokes, or other problems in the brain.  Alzheimer’s </w:t>
      </w:r>
      <w:r w:rsidR="00847591">
        <w:t>d</w:t>
      </w:r>
      <w:r w:rsidR="002C5393">
        <w:t xml:space="preserve">isease is </w:t>
      </w:r>
      <w:r w:rsidR="008562F5">
        <w:t>one </w:t>
      </w:r>
      <w:r w:rsidRPr="00B62337">
        <w:t xml:space="preserve">form of dementia and is the most common, accounting for approximately 70 percent of cases.  There are </w:t>
      </w:r>
      <w:r w:rsidR="009A61DA">
        <w:t>more than</w:t>
      </w:r>
      <w:r w:rsidRPr="00B62337">
        <w:t xml:space="preserve"> 50 identified forms of dementia besides Alzheimer’s </w:t>
      </w:r>
      <w:r w:rsidR="00112E85">
        <w:t>d</w:t>
      </w:r>
      <w:r w:rsidRPr="00B62337">
        <w:t xml:space="preserve">isease, including:  </w:t>
      </w:r>
      <w:r w:rsidR="009E493E">
        <w:t xml:space="preserve">(1) </w:t>
      </w:r>
      <w:r w:rsidR="002C5393">
        <w:t>frontotemporal dementia;</w:t>
      </w:r>
      <w:r w:rsidR="009E493E" w:rsidRPr="00B62337">
        <w:t xml:space="preserve"> </w:t>
      </w:r>
      <w:r w:rsidR="009E493E">
        <w:t xml:space="preserve">(2) </w:t>
      </w:r>
      <w:r w:rsidR="00FC4FB4">
        <w:t>Lewy bodies d</w:t>
      </w:r>
      <w:r w:rsidR="002C5393">
        <w:t>isease;</w:t>
      </w:r>
      <w:r w:rsidR="009E493E" w:rsidRPr="00B62337">
        <w:t xml:space="preserve"> </w:t>
      </w:r>
      <w:r w:rsidR="009E493E">
        <w:t xml:space="preserve">(3) </w:t>
      </w:r>
      <w:r w:rsidR="00FC4FB4">
        <w:t>Parkinson’s d</w:t>
      </w:r>
      <w:r w:rsidR="002C5393">
        <w:t>isease;</w:t>
      </w:r>
      <w:r w:rsidR="009E493E">
        <w:t xml:space="preserve"> (4) </w:t>
      </w:r>
      <w:r w:rsidR="009E493E" w:rsidRPr="00B62337">
        <w:t>Pick’s</w:t>
      </w:r>
      <w:r w:rsidR="008562F5">
        <w:t xml:space="preserve"> </w:t>
      </w:r>
      <w:r w:rsidR="00FC4FB4">
        <w:t>d</w:t>
      </w:r>
      <w:r w:rsidR="009E493E" w:rsidRPr="00B62337">
        <w:t>isease</w:t>
      </w:r>
      <w:r w:rsidR="002C5393">
        <w:t>;</w:t>
      </w:r>
      <w:r w:rsidR="009E493E">
        <w:t xml:space="preserve"> and (5) </w:t>
      </w:r>
      <w:r w:rsidRPr="00B62337">
        <w:t>vascular dementia</w:t>
      </w:r>
      <w:r w:rsidR="009E493E">
        <w:t xml:space="preserve">. </w:t>
      </w:r>
      <w:r w:rsidRPr="00B62337">
        <w:t xml:space="preserve"> Some forms of dementia may be reversible, but for the majority, including Alzheimer’s </w:t>
      </w:r>
      <w:r w:rsidR="00847591">
        <w:t>d</w:t>
      </w:r>
      <w:r w:rsidRPr="00B62337">
        <w:t>isease, there remains no cure.</w:t>
      </w:r>
      <w:r w:rsidR="004D6AE6" w:rsidRPr="00B62337">
        <w:rPr>
          <w:rStyle w:val="EndnoteReference"/>
        </w:rPr>
        <w:endnoteReference w:id="1"/>
      </w:r>
    </w:p>
    <w:p w:rsidR="00AB074D" w:rsidRPr="00B62337" w:rsidRDefault="00AB074D" w:rsidP="00AB074D">
      <w:pPr>
        <w:ind w:firstLine="720"/>
        <w:jc w:val="both"/>
      </w:pPr>
    </w:p>
    <w:p w:rsidR="00AB074D" w:rsidRPr="00B62337" w:rsidRDefault="00AB074D" w:rsidP="00AB074D">
      <w:pPr>
        <w:jc w:val="both"/>
      </w:pPr>
      <w:r w:rsidRPr="00B62337">
        <w:t>Symptoms include short</w:t>
      </w:r>
      <w:r w:rsidR="009E493E">
        <w:t>-</w:t>
      </w:r>
      <w:r w:rsidRPr="00B62337">
        <w:t xml:space="preserve"> and long</w:t>
      </w:r>
      <w:r w:rsidR="009E493E">
        <w:t>-</w:t>
      </w:r>
      <w:r w:rsidRPr="00B62337">
        <w:t>term memory loss, difficulties</w:t>
      </w:r>
      <w:r w:rsidR="004B01E3" w:rsidRPr="00B62337">
        <w:t xml:space="preserve"> with</w:t>
      </w:r>
      <w:r w:rsidRPr="00B62337">
        <w:t xml:space="preserve"> problem solving and performing step-wise tasks, and impaired communicative abilities.  The cognitive decline from dementia is significantly different </w:t>
      </w:r>
      <w:r w:rsidR="00AD3A74">
        <w:t>from</w:t>
      </w:r>
      <w:r w:rsidRPr="00B62337">
        <w:t xml:space="preserve"> what is expected from normal aging and interferes with the completion of activities of daily living.  Individuals with dementia may live from 2 to 20 years with the disease, becoming increasingly dependent on others for their care.</w:t>
      </w:r>
      <w:r w:rsidR="0070389A" w:rsidRPr="00B62337">
        <w:rPr>
          <w:rStyle w:val="EndnoteReference"/>
        </w:rPr>
        <w:endnoteReference w:id="2"/>
      </w:r>
      <w:r w:rsidRPr="00B62337">
        <w:t xml:space="preserve">  </w:t>
      </w:r>
    </w:p>
    <w:p w:rsidR="00AB074D" w:rsidRPr="00B62337" w:rsidRDefault="00AB074D" w:rsidP="00AB074D">
      <w:pPr>
        <w:jc w:val="both"/>
      </w:pPr>
    </w:p>
    <w:p w:rsidR="00AB074D" w:rsidRPr="00B62337" w:rsidRDefault="00AB074D" w:rsidP="00AB074D">
      <w:pPr>
        <w:jc w:val="both"/>
      </w:pPr>
      <w:r w:rsidRPr="00B62337">
        <w:t xml:space="preserve">Though dementia is typically thought of as a disease of the elderly, and indeed the majority of cases affect those ages 65 and older, it actually can be </w:t>
      </w:r>
      <w:r w:rsidR="008F61F3">
        <w:t xml:space="preserve">developed </w:t>
      </w:r>
      <w:r w:rsidRPr="00B62337">
        <w:t>at earlier ages.  When the first symptoms present before age 65, the illness is considered “younger-onset” or “early</w:t>
      </w:r>
      <w:r w:rsidR="009E493E">
        <w:noBreakHyphen/>
      </w:r>
      <w:r w:rsidRPr="00B62337">
        <w:t xml:space="preserve">onset.”  Cases have been documented in </w:t>
      </w:r>
      <w:r w:rsidR="00293598">
        <w:t>individual</w:t>
      </w:r>
      <w:r w:rsidRPr="00B62337">
        <w:t>s as young as 26, and with better early detection, an increasing number of cases are diagnosed in middle age.</w:t>
      </w:r>
      <w:r w:rsidR="0070389A" w:rsidRPr="00B62337">
        <w:rPr>
          <w:rStyle w:val="EndnoteReference"/>
        </w:rPr>
        <w:endnoteReference w:id="3"/>
      </w:r>
      <w:r w:rsidR="00596404">
        <w:t xml:space="preserve">  These </w:t>
      </w:r>
      <w:r w:rsidR="00293598">
        <w:t>individuals</w:t>
      </w:r>
      <w:r w:rsidR="00293598" w:rsidRPr="00B62337">
        <w:t xml:space="preserve"> </w:t>
      </w:r>
      <w:r w:rsidRPr="00B62337">
        <w:t>face unique challenges compared to their older counterparts, having to find solutions in their workplace, managing unprecedented financial burdens, handling child</w:t>
      </w:r>
      <w:r w:rsidR="00E044CE">
        <w:t xml:space="preserve"> </w:t>
      </w:r>
      <w:r w:rsidRPr="00B62337">
        <w:t>care and family obligations, obtaining appropriate medical treatment, and obtaining social services.  In Nevada, m</w:t>
      </w:r>
      <w:r w:rsidR="0070389A" w:rsidRPr="00B62337">
        <w:t>any</w:t>
      </w:r>
      <w:r w:rsidRPr="00B62337">
        <w:t xml:space="preserve"> </w:t>
      </w:r>
      <w:r w:rsidR="00E044CE" w:rsidRPr="00B62337">
        <w:t>federal</w:t>
      </w:r>
      <w:r w:rsidR="00E044CE">
        <w:t>,</w:t>
      </w:r>
      <w:r w:rsidR="00E044CE" w:rsidRPr="00B62337">
        <w:t xml:space="preserve"> </w:t>
      </w:r>
      <w:r w:rsidR="00E044CE">
        <w:t>S</w:t>
      </w:r>
      <w:r w:rsidR="00E044CE" w:rsidRPr="00B62337">
        <w:t xml:space="preserve">tate, </w:t>
      </w:r>
      <w:r w:rsidR="00E044CE">
        <w:t xml:space="preserve">and </w:t>
      </w:r>
      <w:r w:rsidRPr="00B62337">
        <w:t>local programs to support those with dementia have age requirements that keep younger-onset individuals from accessing those essential services</w:t>
      </w:r>
      <w:r w:rsidR="003843B8" w:rsidRPr="00B62337">
        <w:t>.</w:t>
      </w:r>
      <w:r w:rsidRPr="00B62337">
        <w:t xml:space="preserve">  </w:t>
      </w:r>
    </w:p>
    <w:p w:rsidR="00AB074D" w:rsidRPr="00B62337" w:rsidRDefault="00AB074D" w:rsidP="00AB074D">
      <w:pPr>
        <w:jc w:val="both"/>
      </w:pPr>
    </w:p>
    <w:p w:rsidR="00AB074D" w:rsidRPr="0050747D" w:rsidRDefault="00AB074D" w:rsidP="00CD5FD7">
      <w:pPr>
        <w:keepNext/>
        <w:jc w:val="both"/>
        <w:rPr>
          <w:u w:val="single"/>
        </w:rPr>
      </w:pPr>
      <w:r w:rsidRPr="0050747D">
        <w:rPr>
          <w:u w:val="single"/>
        </w:rPr>
        <w:t>Prevalence of Alzheimer’s Disease</w:t>
      </w:r>
    </w:p>
    <w:p w:rsidR="00AB074D" w:rsidRPr="00B62337" w:rsidRDefault="00AB074D" w:rsidP="00CD5FD7">
      <w:pPr>
        <w:keepNext/>
        <w:jc w:val="both"/>
        <w:rPr>
          <w:u w:val="single"/>
        </w:rPr>
      </w:pPr>
    </w:p>
    <w:p w:rsidR="00AB074D" w:rsidRPr="005E4A63" w:rsidRDefault="00AB074D" w:rsidP="00CD5FD7">
      <w:pPr>
        <w:keepNext/>
        <w:jc w:val="both"/>
      </w:pPr>
      <w:r w:rsidRPr="00431302">
        <w:rPr>
          <w:spacing w:val="3"/>
        </w:rPr>
        <w:t xml:space="preserve">The number of Americans with dementia is estimated at </w:t>
      </w:r>
      <w:r w:rsidR="00AD3A74" w:rsidRPr="00431302">
        <w:rPr>
          <w:spacing w:val="3"/>
        </w:rPr>
        <w:t>more than</w:t>
      </w:r>
      <w:r w:rsidRPr="00431302">
        <w:rPr>
          <w:spacing w:val="3"/>
        </w:rPr>
        <w:t xml:space="preserve"> </w:t>
      </w:r>
      <w:r w:rsidR="001409AC">
        <w:rPr>
          <w:spacing w:val="3"/>
        </w:rPr>
        <w:t>6</w:t>
      </w:r>
      <w:r w:rsidRPr="00431302">
        <w:rPr>
          <w:spacing w:val="3"/>
        </w:rPr>
        <w:t xml:space="preserve"> million.</w:t>
      </w:r>
      <w:r w:rsidR="0070389A" w:rsidRPr="00431302">
        <w:rPr>
          <w:rStyle w:val="EndnoteReference"/>
          <w:spacing w:val="3"/>
        </w:rPr>
        <w:endnoteReference w:id="4"/>
      </w:r>
      <w:r w:rsidRPr="00431302">
        <w:rPr>
          <w:spacing w:val="3"/>
        </w:rPr>
        <w:t xml:space="preserve"> </w:t>
      </w:r>
      <w:r w:rsidR="0070389A" w:rsidRPr="00431302">
        <w:rPr>
          <w:spacing w:val="3"/>
        </w:rPr>
        <w:t xml:space="preserve"> </w:t>
      </w:r>
      <w:r w:rsidRPr="00431302">
        <w:rPr>
          <w:spacing w:val="3"/>
        </w:rPr>
        <w:t>In Nevada</w:t>
      </w:r>
      <w:r w:rsidR="00431302" w:rsidRPr="00431302">
        <w:rPr>
          <w:spacing w:val="3"/>
        </w:rPr>
        <w:t>,</w:t>
      </w:r>
      <w:r w:rsidRPr="00431302">
        <w:rPr>
          <w:spacing w:val="3"/>
        </w:rPr>
        <w:t xml:space="preserve"> in 2010</w:t>
      </w:r>
      <w:r w:rsidR="00431302">
        <w:rPr>
          <w:spacing w:val="3"/>
        </w:rPr>
        <w:t>,</w:t>
      </w:r>
      <w:r w:rsidRPr="00431302">
        <w:rPr>
          <w:spacing w:val="3"/>
        </w:rPr>
        <w:t xml:space="preserve"> the population with Alzheimer’s </w:t>
      </w:r>
      <w:r w:rsidR="00847591">
        <w:rPr>
          <w:spacing w:val="3"/>
        </w:rPr>
        <w:t>d</w:t>
      </w:r>
      <w:r w:rsidRPr="00431302">
        <w:rPr>
          <w:spacing w:val="3"/>
        </w:rPr>
        <w:t>isease was esti</w:t>
      </w:r>
      <w:r w:rsidR="00A36920">
        <w:rPr>
          <w:spacing w:val="3"/>
        </w:rPr>
        <w:t>mated at 29,000, which marked a </w:t>
      </w:r>
      <w:r w:rsidR="001409AC">
        <w:rPr>
          <w:spacing w:val="3"/>
        </w:rPr>
        <w:t> </w:t>
      </w:r>
      <w:r w:rsidRPr="00431302">
        <w:rPr>
          <w:spacing w:val="3"/>
        </w:rPr>
        <w:t>38</w:t>
      </w:r>
      <w:r w:rsidRPr="00B62337">
        <w:t xml:space="preserve"> percent increase from </w:t>
      </w:r>
      <w:r w:rsidR="00A36920">
        <w:t>ten</w:t>
      </w:r>
      <w:r w:rsidRPr="00B62337">
        <w:t xml:space="preserve"> years prior.  </w:t>
      </w:r>
      <w:r w:rsidR="002349C0">
        <w:t>Dementia has been found to occur in approximately 5</w:t>
      </w:r>
      <w:r w:rsidR="00A36920">
        <w:t xml:space="preserve"> percent</w:t>
      </w:r>
      <w:r w:rsidR="00676B74">
        <w:t xml:space="preserve"> of individuals aged 71 to </w:t>
      </w:r>
      <w:r w:rsidR="002349C0">
        <w:t>79, 24</w:t>
      </w:r>
      <w:r w:rsidR="00A36920">
        <w:t xml:space="preserve"> percent</w:t>
      </w:r>
      <w:r w:rsidR="00676B74">
        <w:t xml:space="preserve"> of individuals aged 80 to </w:t>
      </w:r>
      <w:r w:rsidR="002349C0">
        <w:t>89, and</w:t>
      </w:r>
      <w:r w:rsidR="005E710B">
        <w:t xml:space="preserve"> 37</w:t>
      </w:r>
      <w:r w:rsidR="00A36920">
        <w:t xml:space="preserve"> percent</w:t>
      </w:r>
      <w:r w:rsidR="005E710B">
        <w:t xml:space="preserve"> of those aged 90 and older</w:t>
      </w:r>
      <w:r w:rsidR="00FA3798">
        <w:t>.</w:t>
      </w:r>
      <w:r w:rsidR="00FA3798">
        <w:rPr>
          <w:rStyle w:val="EndnoteReference"/>
        </w:rPr>
        <w:endnoteReference w:id="5"/>
      </w:r>
      <w:r w:rsidR="002349C0">
        <w:t xml:space="preserve">  Research continues to identify various risk factors for dementia (including high blood pressure, diabetes, smoking, and other factors), but t</w:t>
      </w:r>
      <w:r w:rsidR="002349C0" w:rsidRPr="00C91BE1">
        <w:t>he greatest known risk factor is age</w:t>
      </w:r>
      <w:r w:rsidR="00FA3798">
        <w:t>.</w:t>
      </w:r>
      <w:r w:rsidR="00FA3798">
        <w:rPr>
          <w:rStyle w:val="EndnoteReference"/>
        </w:rPr>
        <w:endnoteReference w:id="6"/>
      </w:r>
      <w:r w:rsidR="00FA3798">
        <w:t xml:space="preserve">  </w:t>
      </w:r>
      <w:r w:rsidRPr="00B62337">
        <w:t xml:space="preserve">As the population continues to </w:t>
      </w:r>
      <w:r w:rsidR="002349C0">
        <w:t>grow older</w:t>
      </w:r>
      <w:r w:rsidRPr="00B62337">
        <w:t xml:space="preserve">, nationally and locally, the number of persons with dementia </w:t>
      </w:r>
      <w:r w:rsidR="00431302">
        <w:t>is projected to</w:t>
      </w:r>
      <w:r w:rsidRPr="00B62337">
        <w:t xml:space="preserve"> continue to inc</w:t>
      </w:r>
      <w:r w:rsidR="00EB0B90">
        <w:t xml:space="preserve">rease.  Nevada’s </w:t>
      </w:r>
      <w:r w:rsidRPr="00B62337">
        <w:t xml:space="preserve">median age rose from 35 in 2000 to </w:t>
      </w:r>
      <w:r w:rsidRPr="00431302">
        <w:rPr>
          <w:spacing w:val="-2"/>
        </w:rPr>
        <w:t>36.3 in 2010.  By 2050, if there is still no cure, the number of Americans</w:t>
      </w:r>
      <w:r w:rsidR="00431302" w:rsidRPr="00431302">
        <w:rPr>
          <w:spacing w:val="-2"/>
        </w:rPr>
        <w:t>—and Nevadans—</w:t>
      </w:r>
      <w:r w:rsidRPr="00431302">
        <w:rPr>
          <w:spacing w:val="-2"/>
        </w:rPr>
        <w:t xml:space="preserve">with dementia is expected to more than double.  </w:t>
      </w:r>
    </w:p>
    <w:p w:rsidR="00AB074D" w:rsidRPr="00B62337" w:rsidRDefault="00AB074D" w:rsidP="00AB074D">
      <w:pPr>
        <w:jc w:val="both"/>
      </w:pPr>
    </w:p>
    <w:p w:rsidR="00AB074D" w:rsidRPr="0050747D" w:rsidRDefault="00AB074D" w:rsidP="00AB074D">
      <w:pPr>
        <w:jc w:val="both"/>
        <w:rPr>
          <w:u w:val="single"/>
        </w:rPr>
      </w:pPr>
      <w:r w:rsidRPr="0050747D">
        <w:rPr>
          <w:u w:val="single"/>
        </w:rPr>
        <w:t>Economic Impact</w:t>
      </w:r>
    </w:p>
    <w:p w:rsidR="00AB074D" w:rsidRPr="00B62337" w:rsidRDefault="00AB074D" w:rsidP="00AB074D">
      <w:pPr>
        <w:jc w:val="both"/>
        <w:rPr>
          <w:u w:val="single"/>
        </w:rPr>
      </w:pPr>
    </w:p>
    <w:p w:rsidR="00AB074D" w:rsidRPr="00B62337" w:rsidRDefault="002349C0" w:rsidP="00AB074D">
      <w:pPr>
        <w:jc w:val="both"/>
      </w:pPr>
      <w:r>
        <w:t>Estimates for the direct and indirect costs of dementia vary substantially, but a recent review of the literature showed that dementia is consistently ranked as one of the most</w:t>
      </w:r>
      <w:r w:rsidR="00DE0833">
        <w:t xml:space="preserve"> expensive illnesses to treat—</w:t>
      </w:r>
      <w:r>
        <w:t>more costly than cancer or AIDS</w:t>
      </w:r>
      <w:r w:rsidR="00610FD6">
        <w:t>.</w:t>
      </w:r>
      <w:r w:rsidR="008B5519">
        <w:rPr>
          <w:rStyle w:val="EndnoteReference"/>
        </w:rPr>
        <w:endnoteReference w:id="7"/>
      </w:r>
      <w:r w:rsidR="00050E08">
        <w:t>  </w:t>
      </w:r>
      <w:r w:rsidR="00431302">
        <w:t xml:space="preserve">In 2012, the estimated </w:t>
      </w:r>
      <w:r w:rsidR="00AB074D" w:rsidRPr="00B62337">
        <w:t xml:space="preserve">cost of care for Alzheimer’s </w:t>
      </w:r>
      <w:r w:rsidR="00847591">
        <w:t>d</w:t>
      </w:r>
      <w:r w:rsidR="00AB074D" w:rsidRPr="00B62337">
        <w:t xml:space="preserve">isease </w:t>
      </w:r>
      <w:r w:rsidR="0043147B">
        <w:t>was</w:t>
      </w:r>
      <w:r w:rsidR="00AB074D" w:rsidRPr="00B62337">
        <w:t xml:space="preserve"> $200 billion in the United States a</w:t>
      </w:r>
      <w:r w:rsidR="004310F5">
        <w:t>nd is projected to rise to $1.1 </w:t>
      </w:r>
      <w:r w:rsidR="00AB074D" w:rsidRPr="00B62337">
        <w:t xml:space="preserve">trillion by 2050.  </w:t>
      </w:r>
      <w:r w:rsidR="00431302">
        <w:t>More than</w:t>
      </w:r>
      <w:r w:rsidR="00AB074D" w:rsidRPr="00B62337">
        <w:t xml:space="preserve"> 15 million Americans provide unpaid care that is valued at $210 billion each year.  In 2011, </w:t>
      </w:r>
      <w:r w:rsidR="00107D7A">
        <w:t xml:space="preserve">more than </w:t>
      </w:r>
      <w:r w:rsidR="00AB074D" w:rsidRPr="00B62337">
        <w:t xml:space="preserve">130,000 unpaid caregivers </w:t>
      </w:r>
      <w:r w:rsidR="00107D7A">
        <w:t xml:space="preserve">in Nevada </w:t>
      </w:r>
      <w:r w:rsidR="00AB074D" w:rsidRPr="00B62337">
        <w:t xml:space="preserve">provided </w:t>
      </w:r>
      <w:r w:rsidR="004310F5">
        <w:t>at </w:t>
      </w:r>
      <w:r w:rsidR="00107D7A">
        <w:t>least</w:t>
      </w:r>
      <w:r w:rsidR="00AB074D" w:rsidRPr="00B62337">
        <w:t xml:space="preserve"> $1.8 billion in unpaid care.</w:t>
      </w:r>
      <w:r w:rsidR="0070389A" w:rsidRPr="00B62337">
        <w:rPr>
          <w:rStyle w:val="EndnoteReference"/>
        </w:rPr>
        <w:endnoteReference w:id="8"/>
      </w:r>
    </w:p>
    <w:p w:rsidR="00AB074D" w:rsidRPr="00B62337" w:rsidRDefault="00AB074D" w:rsidP="00AB074D">
      <w:pPr>
        <w:ind w:firstLine="720"/>
        <w:jc w:val="both"/>
      </w:pPr>
    </w:p>
    <w:p w:rsidR="00AB074D" w:rsidRPr="00B62337" w:rsidRDefault="00AB074D" w:rsidP="00AB074D">
      <w:pPr>
        <w:jc w:val="both"/>
      </w:pPr>
      <w:r w:rsidRPr="00B62337">
        <w:t xml:space="preserve">The average Medicare payments for an elderly person with dementia are nearly </w:t>
      </w:r>
      <w:r w:rsidR="00107D7A">
        <w:t>three</w:t>
      </w:r>
      <w:r w:rsidRPr="00B62337">
        <w:t xml:space="preserve"> times higher than for an elderly person without dementia.  Medicaid payments are 19 times higher for individuals with dementia.  The cost to Medicaid and Medicare has been forecasted to increase by 500 percent by 2050.</w:t>
      </w:r>
      <w:r w:rsidR="005851BC" w:rsidRPr="00B62337">
        <w:rPr>
          <w:rStyle w:val="EndnoteReference"/>
        </w:rPr>
        <w:endnoteReference w:id="9"/>
      </w:r>
    </w:p>
    <w:p w:rsidR="00AB074D" w:rsidRPr="00B62337" w:rsidRDefault="00AB074D" w:rsidP="00AB074D">
      <w:pPr>
        <w:jc w:val="both"/>
      </w:pPr>
    </w:p>
    <w:p w:rsidR="00AB074D" w:rsidRPr="00B62337" w:rsidRDefault="005851BC" w:rsidP="00AB074D">
      <w:pPr>
        <w:jc w:val="both"/>
        <w:rPr>
          <w:u w:val="single"/>
        </w:rPr>
      </w:pPr>
      <w:r w:rsidRPr="00B62337">
        <w:rPr>
          <w:u w:val="single"/>
        </w:rPr>
        <w:lastRenderedPageBreak/>
        <w:t xml:space="preserve">Social Impact and </w:t>
      </w:r>
      <w:r w:rsidR="00AB074D" w:rsidRPr="00B62337">
        <w:rPr>
          <w:u w:val="single"/>
        </w:rPr>
        <w:t xml:space="preserve">Stigma </w:t>
      </w:r>
    </w:p>
    <w:p w:rsidR="005851BC" w:rsidRPr="00B62337" w:rsidRDefault="005851BC" w:rsidP="00AB074D">
      <w:pPr>
        <w:jc w:val="both"/>
        <w:rPr>
          <w:u w:val="single"/>
        </w:rPr>
      </w:pPr>
    </w:p>
    <w:p w:rsidR="00AB074D" w:rsidRPr="00B62337" w:rsidRDefault="00AB074D" w:rsidP="00AB074D">
      <w:pPr>
        <w:jc w:val="both"/>
      </w:pPr>
      <w:r w:rsidRPr="00B62337">
        <w:t xml:space="preserve">The diagnosis of dementia affects </w:t>
      </w:r>
      <w:r w:rsidR="00107D7A">
        <w:t>not only</w:t>
      </w:r>
      <w:r w:rsidRPr="00B62337">
        <w:t xml:space="preserve"> a person’s physical health but</w:t>
      </w:r>
      <w:r w:rsidR="00107D7A">
        <w:t xml:space="preserve"> also his or her </w:t>
      </w:r>
      <w:r w:rsidRPr="00B62337">
        <w:t>mental and emotional well</w:t>
      </w:r>
      <w:r w:rsidR="0050747D">
        <w:t>-</w:t>
      </w:r>
      <w:r w:rsidRPr="00B62337">
        <w:t>being</w:t>
      </w:r>
      <w:r w:rsidR="00107D7A">
        <w:t>.</w:t>
      </w:r>
      <w:r w:rsidRPr="00B62337">
        <w:t xml:space="preserve">  Persons with dementia may become socially isolated because of others’ fear of the disease and</w:t>
      </w:r>
      <w:r w:rsidR="0078248E">
        <w:t>/or</w:t>
      </w:r>
      <w:r w:rsidRPr="00B62337">
        <w:t xml:space="preserve"> may socially withdraw</w:t>
      </w:r>
      <w:r w:rsidR="00847591">
        <w:t xml:space="preserve"> and </w:t>
      </w:r>
      <w:r w:rsidRPr="00B62337">
        <w:t>experience hypervigilance</w:t>
      </w:r>
      <w:r w:rsidR="005F362F">
        <w:t xml:space="preserve"> and shame</w:t>
      </w:r>
      <w:r w:rsidRPr="00B62337">
        <w:t>.</w:t>
      </w:r>
      <w:r w:rsidR="005851BC" w:rsidRPr="00B62337">
        <w:rPr>
          <w:rStyle w:val="EndnoteReference"/>
        </w:rPr>
        <w:endnoteReference w:id="10"/>
      </w:r>
      <w:r w:rsidR="008F533D">
        <w:t>  </w:t>
      </w:r>
      <w:r w:rsidRPr="00B62337">
        <w:t>Awareness and understanding of the disease ha</w:t>
      </w:r>
      <w:r w:rsidR="00107D7A">
        <w:t>ve</w:t>
      </w:r>
      <w:r w:rsidRPr="00B62337">
        <w:t xml:space="preserve"> improved in recent years, and policymakers and stakeholders are paying </w:t>
      </w:r>
      <w:r w:rsidR="00107D7A">
        <w:t>attention</w:t>
      </w:r>
      <w:r w:rsidRPr="00B62337">
        <w:t xml:space="preserve"> to the troubling numbers cited above.  However, the diagnosis still carries significant stigma in the U.S. and around the world.</w:t>
      </w:r>
      <w:r w:rsidR="005851BC" w:rsidRPr="00B62337">
        <w:rPr>
          <w:rStyle w:val="EndnoteReference"/>
        </w:rPr>
        <w:endnoteReference w:id="11"/>
      </w:r>
      <w:r w:rsidRPr="00B62337">
        <w:t xml:space="preserve">  It is the desire of the Task Force</w:t>
      </w:r>
      <w:r w:rsidR="00107D7A">
        <w:t xml:space="preserve"> not only</w:t>
      </w:r>
      <w:r w:rsidRPr="00B62337">
        <w:t xml:space="preserve"> to draw attention to the problems that dementia can bring, on an individual as well as societal level, but also</w:t>
      </w:r>
      <w:r w:rsidR="006359A7">
        <w:t xml:space="preserve"> to</w:t>
      </w:r>
      <w:r w:rsidRPr="00B62337">
        <w:t xml:space="preserve"> r</w:t>
      </w:r>
      <w:r w:rsidR="00ED568F">
        <w:t>educe stigma and fear about the </w:t>
      </w:r>
      <w:r w:rsidRPr="00B62337">
        <w:t xml:space="preserve">disease.  </w:t>
      </w:r>
    </w:p>
    <w:p w:rsidR="00134140" w:rsidRDefault="00134140">
      <w:r>
        <w:br w:type="page"/>
      </w:r>
    </w:p>
    <w:p w:rsidR="00AB074D" w:rsidRPr="00B62337" w:rsidRDefault="00AB074D" w:rsidP="00AB074D">
      <w:pPr>
        <w:jc w:val="both"/>
        <w:rPr>
          <w:rFonts w:eastAsia="Cambria"/>
          <w:b/>
        </w:rPr>
      </w:pPr>
      <w:r w:rsidRPr="00B62337">
        <w:rPr>
          <w:rFonts w:eastAsia="Cambria"/>
          <w:b/>
        </w:rPr>
        <w:lastRenderedPageBreak/>
        <w:t xml:space="preserve">Chapter 2: </w:t>
      </w:r>
      <w:r w:rsidR="0050747D">
        <w:rPr>
          <w:rFonts w:eastAsia="Cambria"/>
          <w:b/>
        </w:rPr>
        <w:t xml:space="preserve"> </w:t>
      </w:r>
      <w:r w:rsidRPr="00B62337">
        <w:rPr>
          <w:rFonts w:eastAsia="Cambria"/>
          <w:b/>
        </w:rPr>
        <w:t>Access to Services</w:t>
      </w:r>
    </w:p>
    <w:p w:rsidR="00AB074D" w:rsidRPr="00B62337" w:rsidRDefault="00AB074D" w:rsidP="00AB074D">
      <w:pPr>
        <w:jc w:val="both"/>
        <w:rPr>
          <w:rFonts w:eastAsia="Cambria"/>
        </w:rPr>
      </w:pPr>
    </w:p>
    <w:p w:rsidR="00AB074D" w:rsidRPr="00B62337" w:rsidRDefault="00AB074D" w:rsidP="00AB074D">
      <w:pPr>
        <w:jc w:val="both"/>
        <w:rPr>
          <w:rFonts w:eastAsia="Cambria"/>
        </w:rPr>
      </w:pPr>
      <w:r w:rsidRPr="00B62337">
        <w:rPr>
          <w:rFonts w:eastAsia="Cambria"/>
        </w:rPr>
        <w:t xml:space="preserve">In Nevada, access to services varies depending on public and provider awareness. </w:t>
      </w:r>
      <w:r w:rsidR="0050747D">
        <w:rPr>
          <w:rFonts w:eastAsia="Cambria"/>
        </w:rPr>
        <w:t xml:space="preserve"> </w:t>
      </w:r>
      <w:r w:rsidRPr="00B62337">
        <w:rPr>
          <w:rFonts w:eastAsia="Cambria"/>
        </w:rPr>
        <w:t xml:space="preserve">There is much confusion about </w:t>
      </w:r>
      <w:r w:rsidR="0053272D">
        <w:rPr>
          <w:rFonts w:eastAsia="Cambria"/>
        </w:rPr>
        <w:t xml:space="preserve">the prognosis of </w:t>
      </w:r>
      <w:r w:rsidRPr="00B62337">
        <w:rPr>
          <w:rFonts w:eastAsia="Cambria"/>
        </w:rPr>
        <w:t>Alzheimer’s disease, how individuals “get the disease</w:t>
      </w:r>
      <w:r w:rsidR="0050747D">
        <w:rPr>
          <w:rFonts w:eastAsia="Cambria"/>
        </w:rPr>
        <w:t>,</w:t>
      </w:r>
      <w:r w:rsidRPr="00B62337">
        <w:rPr>
          <w:rFonts w:eastAsia="Cambria"/>
        </w:rPr>
        <w:t xml:space="preserve">” and </w:t>
      </w:r>
      <w:r w:rsidR="0053272D">
        <w:rPr>
          <w:rFonts w:eastAsia="Cambria"/>
        </w:rPr>
        <w:t>what local services may be available to help caregivers and families of those with dementia</w:t>
      </w:r>
      <w:r w:rsidRPr="006359A7">
        <w:rPr>
          <w:rFonts w:eastAsia="Cambria"/>
          <w:spacing w:val="-2"/>
        </w:rPr>
        <w:t>.</w:t>
      </w:r>
      <w:r w:rsidR="0050747D" w:rsidRPr="006359A7">
        <w:rPr>
          <w:rFonts w:eastAsia="Cambria"/>
          <w:spacing w:val="-2"/>
        </w:rPr>
        <w:t xml:space="preserve"> </w:t>
      </w:r>
      <w:r w:rsidRPr="006359A7">
        <w:rPr>
          <w:rFonts w:eastAsia="Cambria"/>
          <w:spacing w:val="-2"/>
        </w:rPr>
        <w:t xml:space="preserve"> It is critical that everyone becomes educated about the disease</w:t>
      </w:r>
      <w:r w:rsidR="006359A7" w:rsidRPr="006359A7">
        <w:rPr>
          <w:rFonts w:eastAsia="Cambria"/>
          <w:spacing w:val="-2"/>
        </w:rPr>
        <w:t xml:space="preserve">:  </w:t>
      </w:r>
      <w:r w:rsidRPr="006359A7">
        <w:rPr>
          <w:rFonts w:eastAsia="Cambria"/>
          <w:spacing w:val="-2"/>
        </w:rPr>
        <w:t>its detection, diagnosis and treatment</w:t>
      </w:r>
      <w:r w:rsidR="006359A7">
        <w:rPr>
          <w:rFonts w:eastAsia="Cambria"/>
          <w:spacing w:val="-2"/>
        </w:rPr>
        <w:t>;</w:t>
      </w:r>
      <w:r w:rsidRPr="006359A7">
        <w:rPr>
          <w:rFonts w:eastAsia="Cambria"/>
          <w:spacing w:val="-2"/>
        </w:rPr>
        <w:t xml:space="preserve"> resources available for support and</w:t>
      </w:r>
      <w:r w:rsidRPr="00B62337">
        <w:rPr>
          <w:rFonts w:eastAsia="Cambria"/>
        </w:rPr>
        <w:t xml:space="preserve"> information</w:t>
      </w:r>
      <w:r w:rsidR="006359A7">
        <w:rPr>
          <w:rFonts w:eastAsia="Cambria"/>
        </w:rPr>
        <w:t>;</w:t>
      </w:r>
      <w:r w:rsidRPr="00B62337">
        <w:rPr>
          <w:rFonts w:eastAsia="Cambria"/>
        </w:rPr>
        <w:t xml:space="preserve"> and details of the stages and progression of the disease. </w:t>
      </w:r>
      <w:r w:rsidR="0050747D">
        <w:rPr>
          <w:rFonts w:eastAsia="Cambria"/>
        </w:rPr>
        <w:t xml:space="preserve"> </w:t>
      </w:r>
      <w:r w:rsidRPr="00B62337">
        <w:rPr>
          <w:rFonts w:eastAsia="Cambria"/>
        </w:rPr>
        <w:t>Whether in a metropolitan area</w:t>
      </w:r>
      <w:r w:rsidR="006359A7">
        <w:rPr>
          <w:rFonts w:eastAsia="Cambria"/>
        </w:rPr>
        <w:t>,</w:t>
      </w:r>
      <w:r w:rsidRPr="00B62337">
        <w:rPr>
          <w:rFonts w:eastAsia="Cambria"/>
        </w:rPr>
        <w:t xml:space="preserve"> such as Las Vegas or Reno</w:t>
      </w:r>
      <w:r w:rsidR="006359A7">
        <w:rPr>
          <w:rFonts w:eastAsia="Cambria"/>
        </w:rPr>
        <w:t>,</w:t>
      </w:r>
      <w:r w:rsidRPr="00B62337">
        <w:rPr>
          <w:rFonts w:eastAsia="Cambria"/>
        </w:rPr>
        <w:t xml:space="preserve"> or in a rural community</w:t>
      </w:r>
      <w:r w:rsidR="006359A7">
        <w:rPr>
          <w:rFonts w:eastAsia="Cambria"/>
        </w:rPr>
        <w:t>,</w:t>
      </w:r>
      <w:r w:rsidRPr="00B62337">
        <w:rPr>
          <w:rFonts w:eastAsia="Cambria"/>
        </w:rPr>
        <w:t xml:space="preserve"> such as Denio, Nevadans require access to up</w:t>
      </w:r>
      <w:r w:rsidR="0050747D">
        <w:rPr>
          <w:rFonts w:eastAsia="Cambria"/>
        </w:rPr>
        <w:noBreakHyphen/>
      </w:r>
      <w:r w:rsidRPr="00B62337">
        <w:rPr>
          <w:rFonts w:eastAsia="Cambria"/>
        </w:rPr>
        <w:t>to-date information o</w:t>
      </w:r>
      <w:r w:rsidR="0050747D">
        <w:rPr>
          <w:rFonts w:eastAsia="Cambria"/>
        </w:rPr>
        <w:t>n</w:t>
      </w:r>
      <w:r w:rsidRPr="00B62337">
        <w:rPr>
          <w:rFonts w:eastAsia="Cambria"/>
        </w:rPr>
        <w:t xml:space="preserve"> detection, diagnosis, treatment, and a variety of health services. </w:t>
      </w:r>
      <w:r w:rsidR="0050747D">
        <w:rPr>
          <w:rFonts w:eastAsia="Cambria"/>
        </w:rPr>
        <w:t xml:space="preserve"> </w:t>
      </w:r>
      <w:r w:rsidRPr="00B62337">
        <w:rPr>
          <w:rFonts w:eastAsia="Cambria"/>
        </w:rPr>
        <w:t xml:space="preserve">Many </w:t>
      </w:r>
      <w:r w:rsidR="0008062A">
        <w:rPr>
          <w:rFonts w:eastAsia="Cambria"/>
        </w:rPr>
        <w:t>persons</w:t>
      </w:r>
      <w:r w:rsidR="0008062A" w:rsidRPr="00B62337">
        <w:rPr>
          <w:rFonts w:eastAsia="Cambria"/>
        </w:rPr>
        <w:t xml:space="preserve"> </w:t>
      </w:r>
      <w:r w:rsidR="0008062A">
        <w:rPr>
          <w:rFonts w:eastAsia="Cambria"/>
        </w:rPr>
        <w:t>with</w:t>
      </w:r>
      <w:r w:rsidRPr="00B62337">
        <w:rPr>
          <w:rFonts w:eastAsia="Cambria"/>
        </w:rPr>
        <w:t xml:space="preserve"> Alzheimer’s </w:t>
      </w:r>
      <w:r w:rsidR="005F362F">
        <w:rPr>
          <w:rFonts w:eastAsia="Cambria"/>
        </w:rPr>
        <w:t>d</w:t>
      </w:r>
      <w:r w:rsidRPr="00B62337">
        <w:rPr>
          <w:rFonts w:eastAsia="Cambria"/>
        </w:rPr>
        <w:t xml:space="preserve">isease and their families are not aware of specialized diagnosis of the disease through neurological examination and the availability of </w:t>
      </w:r>
      <w:r w:rsidR="0078248E">
        <w:rPr>
          <w:rFonts w:eastAsia="Cambria"/>
        </w:rPr>
        <w:t>care</w:t>
      </w:r>
      <w:r w:rsidR="0078248E" w:rsidRPr="00B62337">
        <w:rPr>
          <w:rFonts w:eastAsia="Cambria"/>
        </w:rPr>
        <w:t xml:space="preserve"> </w:t>
      </w:r>
      <w:r w:rsidRPr="00B62337">
        <w:rPr>
          <w:rFonts w:eastAsia="Cambria"/>
        </w:rPr>
        <w:t>and treatment</w:t>
      </w:r>
      <w:r w:rsidR="0078248E">
        <w:rPr>
          <w:rFonts w:eastAsia="Cambria"/>
        </w:rPr>
        <w:t xml:space="preserve"> options</w:t>
      </w:r>
      <w:r w:rsidRPr="00B62337">
        <w:rPr>
          <w:rFonts w:eastAsia="Cambria"/>
        </w:rPr>
        <w:t xml:space="preserve">. </w:t>
      </w:r>
      <w:r w:rsidR="0050747D">
        <w:rPr>
          <w:rFonts w:eastAsia="Cambria"/>
        </w:rPr>
        <w:t xml:space="preserve"> </w:t>
      </w:r>
      <w:r w:rsidRPr="00B62337">
        <w:rPr>
          <w:rFonts w:eastAsia="Cambria"/>
        </w:rPr>
        <w:t xml:space="preserve">This problem is compounded because of the distance to services or a lack of awareness of specialists to consult. </w:t>
      </w:r>
      <w:r w:rsidR="0050747D">
        <w:rPr>
          <w:rFonts w:eastAsia="Cambria"/>
        </w:rPr>
        <w:t xml:space="preserve"> </w:t>
      </w:r>
      <w:r w:rsidRPr="00B62337">
        <w:rPr>
          <w:rFonts w:eastAsia="Cambria"/>
        </w:rPr>
        <w:t xml:space="preserve">Nevadans deserve quality diagnosis and treatment </w:t>
      </w:r>
      <w:r w:rsidR="0053272D">
        <w:rPr>
          <w:rFonts w:eastAsia="Cambria"/>
        </w:rPr>
        <w:t>informed by the most current science</w:t>
      </w:r>
      <w:r w:rsidRPr="00B62337">
        <w:rPr>
          <w:rFonts w:eastAsia="Cambria"/>
        </w:rPr>
        <w:t xml:space="preserve"> regardless of where they reside in the </w:t>
      </w:r>
      <w:r w:rsidR="0050747D">
        <w:rPr>
          <w:rFonts w:eastAsia="Cambria"/>
        </w:rPr>
        <w:t>S</w:t>
      </w:r>
      <w:r w:rsidRPr="00B62337">
        <w:rPr>
          <w:rFonts w:eastAsia="Cambria"/>
        </w:rPr>
        <w:t>tate.</w:t>
      </w:r>
    </w:p>
    <w:p w:rsidR="00AB074D" w:rsidRPr="00B62337" w:rsidRDefault="00AB074D" w:rsidP="00AB074D">
      <w:pPr>
        <w:jc w:val="both"/>
        <w:rPr>
          <w:rFonts w:eastAsia="Cambria"/>
        </w:rPr>
      </w:pPr>
    </w:p>
    <w:p w:rsidR="00AB074D" w:rsidRPr="00B62337" w:rsidRDefault="00AB074D" w:rsidP="00AB074D">
      <w:pPr>
        <w:jc w:val="both"/>
        <w:rPr>
          <w:rFonts w:eastAsia="Cambria"/>
          <w:u w:val="single"/>
        </w:rPr>
      </w:pPr>
      <w:r w:rsidRPr="00B62337">
        <w:rPr>
          <w:rFonts w:eastAsia="Cambria"/>
          <w:u w:val="single"/>
        </w:rPr>
        <w:t>Home-Based Services</w:t>
      </w:r>
    </w:p>
    <w:p w:rsidR="00AB074D" w:rsidRPr="00B62337" w:rsidRDefault="00AB074D" w:rsidP="00AB074D">
      <w:pPr>
        <w:jc w:val="both"/>
        <w:rPr>
          <w:rFonts w:eastAsia="Cambria"/>
          <w:u w:val="single"/>
        </w:rPr>
      </w:pPr>
    </w:p>
    <w:p w:rsidR="00AB074D" w:rsidRPr="00B62337" w:rsidRDefault="00AB074D" w:rsidP="00AB074D">
      <w:pPr>
        <w:jc w:val="both"/>
        <w:rPr>
          <w:rFonts w:eastAsia="Cambria"/>
        </w:rPr>
      </w:pPr>
      <w:r w:rsidRPr="00B62337">
        <w:rPr>
          <w:rFonts w:eastAsia="Cambria"/>
        </w:rPr>
        <w:t xml:space="preserve">Home-based services or in-home services provide a range of </w:t>
      </w:r>
      <w:r w:rsidR="008F61F3">
        <w:rPr>
          <w:rFonts w:eastAsia="Cambria"/>
        </w:rPr>
        <w:t xml:space="preserve">caregiving assistance and services </w:t>
      </w:r>
      <w:r w:rsidRPr="00B62337">
        <w:rPr>
          <w:rFonts w:eastAsia="Cambria"/>
        </w:rPr>
        <w:t xml:space="preserve">that allow a person with Alzheimer’s </w:t>
      </w:r>
      <w:r w:rsidR="005F362F">
        <w:rPr>
          <w:rFonts w:eastAsia="Cambria"/>
        </w:rPr>
        <w:t>d</w:t>
      </w:r>
      <w:r w:rsidRPr="00B62337">
        <w:rPr>
          <w:rFonts w:eastAsia="Cambria"/>
        </w:rPr>
        <w:t xml:space="preserve">isease or </w:t>
      </w:r>
      <w:r w:rsidR="00C4163C">
        <w:rPr>
          <w:rFonts w:eastAsia="Cambria"/>
        </w:rPr>
        <w:t>related disorders</w:t>
      </w:r>
      <w:r w:rsidR="0008062A">
        <w:rPr>
          <w:rFonts w:eastAsia="Cambria"/>
        </w:rPr>
        <w:t xml:space="preserve"> </w:t>
      </w:r>
      <w:r w:rsidRPr="00B62337">
        <w:rPr>
          <w:rFonts w:eastAsia="Cambria"/>
        </w:rPr>
        <w:t xml:space="preserve">to stay in his or her home and </w:t>
      </w:r>
      <w:r w:rsidR="0053272D">
        <w:rPr>
          <w:rFonts w:eastAsia="Cambria"/>
        </w:rPr>
        <w:t xml:space="preserve">also </w:t>
      </w:r>
      <w:r w:rsidRPr="00B62337">
        <w:rPr>
          <w:rFonts w:eastAsia="Cambria"/>
        </w:rPr>
        <w:t>provide much</w:t>
      </w:r>
      <w:r w:rsidR="0008062A">
        <w:rPr>
          <w:rFonts w:eastAsia="Cambria"/>
        </w:rPr>
        <w:t>-</w:t>
      </w:r>
      <w:r w:rsidRPr="00B62337">
        <w:rPr>
          <w:rFonts w:eastAsia="Cambria"/>
        </w:rPr>
        <w:t>needed support for caregiver</w:t>
      </w:r>
      <w:r w:rsidR="000407DC">
        <w:rPr>
          <w:rFonts w:eastAsia="Cambria"/>
        </w:rPr>
        <w:t>s.</w:t>
      </w:r>
      <w:r w:rsidR="005F52EB" w:rsidRPr="005F52EB">
        <w:rPr>
          <w:rFonts w:eastAsia="Cambria"/>
          <w:spacing w:val="-6"/>
        </w:rPr>
        <w:t xml:space="preserve">  </w:t>
      </w:r>
      <w:r w:rsidRPr="00B62337">
        <w:rPr>
          <w:rFonts w:eastAsia="Cambria"/>
        </w:rPr>
        <w:t>These services can include</w:t>
      </w:r>
      <w:r w:rsidR="009224E9">
        <w:rPr>
          <w:rFonts w:eastAsia="Cambria"/>
        </w:rPr>
        <w:t xml:space="preserve">: </w:t>
      </w:r>
      <w:r w:rsidRPr="00B62337">
        <w:rPr>
          <w:rFonts w:eastAsia="Cambria"/>
        </w:rPr>
        <w:t xml:space="preserve"> companion</w:t>
      </w:r>
      <w:r w:rsidR="0053272D">
        <w:rPr>
          <w:rFonts w:eastAsia="Cambria"/>
        </w:rPr>
        <w:t>ship</w:t>
      </w:r>
      <w:r w:rsidRPr="00B62337">
        <w:rPr>
          <w:rFonts w:eastAsia="Cambria"/>
        </w:rPr>
        <w:t>, personal care</w:t>
      </w:r>
      <w:r w:rsidR="0053272D">
        <w:rPr>
          <w:rFonts w:eastAsia="Cambria"/>
        </w:rPr>
        <w:t xml:space="preserve"> (assistance wit</w:t>
      </w:r>
      <w:r w:rsidR="00C614AC">
        <w:rPr>
          <w:rFonts w:eastAsia="Cambria"/>
        </w:rPr>
        <w:t>h bathing, dressing, eating, et cetera</w:t>
      </w:r>
      <w:r w:rsidR="0053272D">
        <w:rPr>
          <w:rFonts w:eastAsia="Cambria"/>
        </w:rPr>
        <w:t>)</w:t>
      </w:r>
      <w:r w:rsidRPr="00B62337">
        <w:rPr>
          <w:rFonts w:eastAsia="Cambria"/>
        </w:rPr>
        <w:t>, homemaker services</w:t>
      </w:r>
      <w:r w:rsidR="0053272D">
        <w:rPr>
          <w:rFonts w:eastAsia="Cambria"/>
        </w:rPr>
        <w:t xml:space="preserve">, </w:t>
      </w:r>
      <w:r w:rsidRPr="00B62337">
        <w:rPr>
          <w:rFonts w:eastAsia="Cambria"/>
        </w:rPr>
        <w:t xml:space="preserve">and </w:t>
      </w:r>
      <w:r w:rsidR="0053272D">
        <w:rPr>
          <w:rFonts w:eastAsia="Cambria"/>
        </w:rPr>
        <w:t>more specialized</w:t>
      </w:r>
      <w:r w:rsidR="0053272D" w:rsidRPr="00B62337">
        <w:rPr>
          <w:rFonts w:eastAsia="Cambria"/>
        </w:rPr>
        <w:t xml:space="preserve"> </w:t>
      </w:r>
      <w:r w:rsidRPr="00B62337">
        <w:rPr>
          <w:rFonts w:eastAsia="Cambria"/>
        </w:rPr>
        <w:t xml:space="preserve">care.  For instance, </w:t>
      </w:r>
      <w:r w:rsidR="006F20A5">
        <w:rPr>
          <w:rFonts w:eastAsia="Cambria"/>
        </w:rPr>
        <w:t xml:space="preserve">the </w:t>
      </w:r>
      <w:r w:rsidRPr="00B62337">
        <w:rPr>
          <w:rFonts w:eastAsia="Cambria"/>
        </w:rPr>
        <w:t xml:space="preserve">Home </w:t>
      </w:r>
      <w:r w:rsidR="006F20A5">
        <w:rPr>
          <w:rFonts w:eastAsia="Cambria"/>
        </w:rPr>
        <w:t>and Community</w:t>
      </w:r>
      <w:r w:rsidR="00C81F57">
        <w:rPr>
          <w:rFonts w:eastAsia="Cambria"/>
        </w:rPr>
        <w:t>-</w:t>
      </w:r>
      <w:r w:rsidR="004463BC">
        <w:rPr>
          <w:rFonts w:eastAsia="Cambria"/>
        </w:rPr>
        <w:t>Based Waiver (HCBW) and </w:t>
      </w:r>
      <w:r w:rsidRPr="00B62337">
        <w:rPr>
          <w:rFonts w:eastAsia="Cambria"/>
        </w:rPr>
        <w:t>Community Service Options Program for the Elderly (COPE)</w:t>
      </w:r>
      <w:r w:rsidR="006F20A5">
        <w:rPr>
          <w:rFonts w:eastAsia="Cambria"/>
        </w:rPr>
        <w:t>,</w:t>
      </w:r>
      <w:r w:rsidR="00CE19AA">
        <w:rPr>
          <w:rFonts w:eastAsia="Cambria"/>
        </w:rPr>
        <w:t xml:space="preserve"> </w:t>
      </w:r>
      <w:r w:rsidR="006F20A5">
        <w:rPr>
          <w:rFonts w:eastAsia="Cambria"/>
        </w:rPr>
        <w:t xml:space="preserve">administered by the Aging and Disability Services Division </w:t>
      </w:r>
      <w:r w:rsidR="003744D6">
        <w:rPr>
          <w:rFonts w:eastAsia="Cambria"/>
        </w:rPr>
        <w:t xml:space="preserve">(ADSD) </w:t>
      </w:r>
      <w:r w:rsidR="006F20A5">
        <w:rPr>
          <w:rFonts w:eastAsia="Cambria"/>
        </w:rPr>
        <w:t>of Nevada’s Department of Health and Human Services (DHHS),</w:t>
      </w:r>
      <w:r w:rsidRPr="00B62337">
        <w:rPr>
          <w:rFonts w:eastAsia="Cambria"/>
        </w:rPr>
        <w:t xml:space="preserve"> provide home</w:t>
      </w:r>
      <w:r w:rsidR="006F20A5">
        <w:rPr>
          <w:rFonts w:eastAsia="Cambria"/>
        </w:rPr>
        <w:t>-</w:t>
      </w:r>
      <w:r w:rsidRPr="00B62337">
        <w:rPr>
          <w:rFonts w:eastAsia="Cambria"/>
        </w:rPr>
        <w:t>based care to help</w:t>
      </w:r>
      <w:r w:rsidR="009224E9">
        <w:rPr>
          <w:rFonts w:eastAsia="Cambria"/>
        </w:rPr>
        <w:t xml:space="preserve"> the </w:t>
      </w:r>
      <w:r w:rsidR="00293598">
        <w:rPr>
          <w:rFonts w:eastAsia="Cambria"/>
        </w:rPr>
        <w:t>person</w:t>
      </w:r>
      <w:r w:rsidR="00293598" w:rsidRPr="00B62337">
        <w:rPr>
          <w:rFonts w:eastAsia="Cambria"/>
        </w:rPr>
        <w:t xml:space="preserve"> </w:t>
      </w:r>
      <w:r w:rsidRPr="00B62337">
        <w:rPr>
          <w:rFonts w:eastAsia="Cambria"/>
        </w:rPr>
        <w:t>maintain independence and delay placement in</w:t>
      </w:r>
      <w:r w:rsidR="0053272D">
        <w:rPr>
          <w:rFonts w:eastAsia="Cambria"/>
        </w:rPr>
        <w:t>to</w:t>
      </w:r>
      <w:r w:rsidRPr="00B62337">
        <w:rPr>
          <w:rFonts w:eastAsia="Cambria"/>
        </w:rPr>
        <w:t xml:space="preserve"> long</w:t>
      </w:r>
      <w:r w:rsidR="006F20A5">
        <w:rPr>
          <w:rFonts w:eastAsia="Cambria"/>
        </w:rPr>
        <w:t>-</w:t>
      </w:r>
      <w:r w:rsidRPr="00B62337">
        <w:rPr>
          <w:rFonts w:eastAsia="Cambria"/>
        </w:rPr>
        <w:t xml:space="preserve">term care facilities. </w:t>
      </w:r>
      <w:r w:rsidR="006F20A5">
        <w:rPr>
          <w:rFonts w:eastAsia="Cambria"/>
        </w:rPr>
        <w:t xml:space="preserve"> </w:t>
      </w:r>
      <w:r w:rsidRPr="00B62337">
        <w:rPr>
          <w:rFonts w:eastAsia="Cambria"/>
        </w:rPr>
        <w:t>Private home-health agencies, regulated by the Bureau of Health Care Quality and Compliance</w:t>
      </w:r>
      <w:r w:rsidR="006F20A5">
        <w:rPr>
          <w:rFonts w:eastAsia="Cambria"/>
        </w:rPr>
        <w:t xml:space="preserve"> (BHCQC) in the Health Division of the</w:t>
      </w:r>
      <w:r w:rsidR="00CE19AA">
        <w:rPr>
          <w:rFonts w:eastAsia="Cambria"/>
        </w:rPr>
        <w:t> </w:t>
      </w:r>
      <w:r w:rsidR="006F20A5">
        <w:rPr>
          <w:rFonts w:eastAsia="Cambria"/>
        </w:rPr>
        <w:t>DHHS</w:t>
      </w:r>
      <w:r w:rsidRPr="00B62337">
        <w:rPr>
          <w:rFonts w:eastAsia="Cambria"/>
        </w:rPr>
        <w:t>, may also be hired to provide a variety of home-based services.  In</w:t>
      </w:r>
      <w:r w:rsidR="00B35407">
        <w:rPr>
          <w:rFonts w:eastAsia="Cambria"/>
        </w:rPr>
        <w:t> </w:t>
      </w:r>
      <w:r w:rsidRPr="00B62337">
        <w:rPr>
          <w:rFonts w:eastAsia="Cambria"/>
        </w:rPr>
        <w:t>addition, other services</w:t>
      </w:r>
      <w:r w:rsidR="009224E9">
        <w:rPr>
          <w:rFonts w:eastAsia="Cambria"/>
        </w:rPr>
        <w:t>,</w:t>
      </w:r>
      <w:r w:rsidRPr="00B62337">
        <w:rPr>
          <w:rFonts w:eastAsia="Cambria"/>
        </w:rPr>
        <w:t xml:space="preserve"> like adult day </w:t>
      </w:r>
      <w:r w:rsidR="0053272D">
        <w:rPr>
          <w:rFonts w:eastAsia="Cambria"/>
        </w:rPr>
        <w:t>programs</w:t>
      </w:r>
      <w:r w:rsidR="009224E9">
        <w:rPr>
          <w:rFonts w:eastAsia="Cambria"/>
        </w:rPr>
        <w:t>,</w:t>
      </w:r>
      <w:r w:rsidRPr="00B62337">
        <w:rPr>
          <w:rFonts w:eastAsia="Cambria"/>
        </w:rPr>
        <w:t xml:space="preserve"> provide both an opportunity for social stimulation and, in some cases</w:t>
      </w:r>
      <w:r w:rsidR="006F20A5">
        <w:rPr>
          <w:rFonts w:eastAsia="Cambria"/>
        </w:rPr>
        <w:t>,</w:t>
      </w:r>
      <w:r w:rsidRPr="00B62337">
        <w:rPr>
          <w:rFonts w:eastAsia="Cambria"/>
        </w:rPr>
        <w:t xml:space="preserve"> medical oversight to the </w:t>
      </w:r>
      <w:r w:rsidR="00E12662">
        <w:rPr>
          <w:rFonts w:eastAsia="Cambria"/>
        </w:rPr>
        <w:t>individuals</w:t>
      </w:r>
      <w:r w:rsidR="009224E9">
        <w:rPr>
          <w:rFonts w:eastAsia="Cambria"/>
        </w:rPr>
        <w:t>,</w:t>
      </w:r>
      <w:r w:rsidRPr="00B62337">
        <w:rPr>
          <w:rFonts w:eastAsia="Cambria"/>
        </w:rPr>
        <w:t xml:space="preserve"> as well as respite for the</w:t>
      </w:r>
      <w:r w:rsidR="005F52EB">
        <w:rPr>
          <w:rFonts w:eastAsia="Cambria"/>
        </w:rPr>
        <w:t xml:space="preserve"> </w:t>
      </w:r>
      <w:r w:rsidRPr="00B62337">
        <w:rPr>
          <w:rFonts w:eastAsia="Cambria"/>
        </w:rPr>
        <w:t>caregivers.</w:t>
      </w:r>
    </w:p>
    <w:p w:rsidR="00B35407" w:rsidRDefault="00B35407" w:rsidP="00AB074D">
      <w:pPr>
        <w:jc w:val="both"/>
        <w:rPr>
          <w:rFonts w:eastAsia="Cambria"/>
        </w:rPr>
      </w:pPr>
    </w:p>
    <w:p w:rsidR="00AB074D" w:rsidRPr="00B62337" w:rsidRDefault="00AB074D" w:rsidP="00AB074D">
      <w:pPr>
        <w:jc w:val="both"/>
        <w:rPr>
          <w:rFonts w:eastAsia="Cambria"/>
          <w:u w:val="single"/>
        </w:rPr>
      </w:pPr>
      <w:r w:rsidRPr="00B62337">
        <w:rPr>
          <w:rFonts w:eastAsia="Cambria"/>
          <w:u w:val="single"/>
        </w:rPr>
        <w:t>Support Services</w:t>
      </w:r>
    </w:p>
    <w:p w:rsidR="00AB074D" w:rsidRPr="00B62337" w:rsidRDefault="00AB074D" w:rsidP="00AB074D">
      <w:pPr>
        <w:jc w:val="both"/>
        <w:rPr>
          <w:rFonts w:eastAsia="Cambria"/>
          <w:u w:val="single"/>
        </w:rPr>
      </w:pPr>
    </w:p>
    <w:p w:rsidR="00AB074D" w:rsidRPr="00B62337" w:rsidRDefault="00AB074D" w:rsidP="00AB074D">
      <w:pPr>
        <w:jc w:val="both"/>
        <w:rPr>
          <w:rFonts w:eastAsia="Cambria"/>
        </w:rPr>
      </w:pPr>
      <w:r w:rsidRPr="00B62337">
        <w:rPr>
          <w:rFonts w:eastAsia="Cambria"/>
        </w:rPr>
        <w:t>Though a cure for most dementias is not</w:t>
      </w:r>
      <w:r w:rsidR="009224E9">
        <w:rPr>
          <w:rFonts w:eastAsia="Cambria"/>
        </w:rPr>
        <w:t xml:space="preserve"> yet</w:t>
      </w:r>
      <w:r w:rsidRPr="00B62337">
        <w:rPr>
          <w:rFonts w:eastAsia="Cambria"/>
        </w:rPr>
        <w:t xml:space="preserve"> available, there are many ways to improve quality of life for caregivers and care recipients.</w:t>
      </w:r>
      <w:r w:rsidR="00082A8A">
        <w:rPr>
          <w:rFonts w:eastAsia="Cambria"/>
        </w:rPr>
        <w:t>  </w:t>
      </w:r>
      <w:r w:rsidR="00AB7A31">
        <w:rPr>
          <w:rFonts w:eastAsia="Cambria"/>
        </w:rPr>
        <w:t>C</w:t>
      </w:r>
      <w:r w:rsidR="00AB7A31" w:rsidRPr="00B62337">
        <w:rPr>
          <w:rFonts w:eastAsia="Cambria"/>
        </w:rPr>
        <w:t xml:space="preserve">are management, counseling, </w:t>
      </w:r>
      <w:r w:rsidR="00AB7A31">
        <w:rPr>
          <w:rFonts w:eastAsia="Cambria"/>
        </w:rPr>
        <w:t>s</w:t>
      </w:r>
      <w:r w:rsidRPr="00B62337">
        <w:rPr>
          <w:rFonts w:eastAsia="Cambria"/>
        </w:rPr>
        <w:t>ocialization programs, support groups, and other programs have been shown to reduce stress and improve quality of</w:t>
      </w:r>
      <w:r w:rsidR="00082A8A">
        <w:rPr>
          <w:rFonts w:eastAsia="Cambria"/>
        </w:rPr>
        <w:t xml:space="preserve"> </w:t>
      </w:r>
      <w:r w:rsidRPr="00B62337">
        <w:rPr>
          <w:rFonts w:eastAsia="Cambria"/>
        </w:rPr>
        <w:t>life.</w:t>
      </w:r>
      <w:r w:rsidR="00E870FB">
        <w:rPr>
          <w:rStyle w:val="EndnoteReference"/>
          <w:rFonts w:eastAsia="Cambria"/>
        </w:rPr>
        <w:endnoteReference w:id="12"/>
      </w:r>
    </w:p>
    <w:p w:rsidR="00AB074D" w:rsidRPr="00B62337" w:rsidRDefault="00AB074D" w:rsidP="00AB074D">
      <w:pPr>
        <w:ind w:firstLine="720"/>
        <w:jc w:val="both"/>
        <w:rPr>
          <w:rFonts w:eastAsia="Cambria"/>
        </w:rPr>
      </w:pPr>
    </w:p>
    <w:p w:rsidR="00AB074D" w:rsidRPr="00B62337" w:rsidRDefault="00AB074D" w:rsidP="00AB074D">
      <w:pPr>
        <w:jc w:val="both"/>
        <w:rPr>
          <w:rFonts w:eastAsia="Cambria"/>
        </w:rPr>
      </w:pPr>
      <w:r w:rsidRPr="00AB7A31">
        <w:rPr>
          <w:rFonts w:eastAsia="Cambria"/>
        </w:rPr>
        <w:t xml:space="preserve">Many people </w:t>
      </w:r>
      <w:r w:rsidR="001B29A4">
        <w:rPr>
          <w:rFonts w:eastAsia="Cambria"/>
        </w:rPr>
        <w:t xml:space="preserve">may </w:t>
      </w:r>
      <w:r w:rsidRPr="00AB7A31">
        <w:rPr>
          <w:rFonts w:eastAsia="Cambria"/>
        </w:rPr>
        <w:t xml:space="preserve">believe that </w:t>
      </w:r>
      <w:r w:rsidR="009224E9">
        <w:rPr>
          <w:rFonts w:eastAsia="Cambria"/>
        </w:rPr>
        <w:t xml:space="preserve">both </w:t>
      </w:r>
      <w:r w:rsidRPr="00AB7A31">
        <w:rPr>
          <w:rFonts w:eastAsia="Cambria"/>
        </w:rPr>
        <w:t xml:space="preserve">those with Alzheimer’s </w:t>
      </w:r>
      <w:r w:rsidR="005F362F">
        <w:rPr>
          <w:rFonts w:eastAsia="Cambria"/>
        </w:rPr>
        <w:t>d</w:t>
      </w:r>
      <w:r w:rsidRPr="00AB7A31">
        <w:rPr>
          <w:rFonts w:eastAsia="Cambria"/>
        </w:rPr>
        <w:t>isease</w:t>
      </w:r>
      <w:r w:rsidR="00AB7A31" w:rsidRPr="00AB7A31">
        <w:rPr>
          <w:rFonts w:eastAsia="Cambria"/>
        </w:rPr>
        <w:t xml:space="preserve"> </w:t>
      </w:r>
      <w:r w:rsidR="00AB7A31" w:rsidRPr="00AB7A31">
        <w:rPr>
          <w:rFonts w:eastAsia="Calibri"/>
          <w:noProof/>
        </w:rPr>
        <w:t xml:space="preserve">and </w:t>
      </w:r>
      <w:r w:rsidR="00C4163C">
        <w:rPr>
          <w:rFonts w:eastAsia="Calibri"/>
          <w:noProof/>
        </w:rPr>
        <w:t>related disorders</w:t>
      </w:r>
      <w:r w:rsidRPr="00B62337">
        <w:rPr>
          <w:rFonts w:eastAsia="Cambria"/>
        </w:rPr>
        <w:t xml:space="preserve"> and th</w:t>
      </w:r>
      <w:r w:rsidR="009224E9">
        <w:rPr>
          <w:rFonts w:eastAsia="Cambria"/>
        </w:rPr>
        <w:t>ose who care for them</w:t>
      </w:r>
      <w:r w:rsidRPr="00B62337">
        <w:rPr>
          <w:rFonts w:eastAsia="Cambria"/>
        </w:rPr>
        <w:t xml:space="preserve"> prefer to be alone.  Because communication can be difficult with </w:t>
      </w:r>
      <w:r w:rsidR="005F362F">
        <w:rPr>
          <w:rFonts w:eastAsia="Cambria"/>
        </w:rPr>
        <w:t>persons</w:t>
      </w:r>
      <w:r w:rsidR="005F362F" w:rsidRPr="00B62337">
        <w:rPr>
          <w:rFonts w:eastAsia="Cambria"/>
        </w:rPr>
        <w:t xml:space="preserve"> </w:t>
      </w:r>
      <w:r w:rsidRPr="00B62337">
        <w:rPr>
          <w:rFonts w:eastAsia="Cambria"/>
        </w:rPr>
        <w:t>who have dementia, well-meaning friends often stay away.  They may be</w:t>
      </w:r>
      <w:r w:rsidR="00B35407">
        <w:rPr>
          <w:rFonts w:eastAsia="Cambria"/>
        </w:rPr>
        <w:t> </w:t>
      </w:r>
      <w:r w:rsidRPr="00B62337">
        <w:rPr>
          <w:rFonts w:eastAsia="Cambria"/>
        </w:rPr>
        <w:t>afraid of interfering or simply fearful of the disease itself</w:t>
      </w:r>
      <w:r w:rsidR="001B29A4">
        <w:rPr>
          <w:rFonts w:eastAsia="Cambria"/>
        </w:rPr>
        <w:t>, which puts both care recipients and caregivers at risk for social isolation</w:t>
      </w:r>
      <w:r w:rsidR="00E8215F">
        <w:rPr>
          <w:rFonts w:eastAsia="Cambria"/>
        </w:rPr>
        <w:t>.</w:t>
      </w:r>
      <w:r w:rsidR="00E8215F">
        <w:rPr>
          <w:rStyle w:val="EndnoteReference"/>
          <w:rFonts w:eastAsia="Cambria"/>
        </w:rPr>
        <w:endnoteReference w:id="13"/>
      </w:r>
      <w:r w:rsidR="00DB0026">
        <w:rPr>
          <w:rFonts w:eastAsia="Cambria"/>
        </w:rPr>
        <w:t> </w:t>
      </w:r>
      <w:r w:rsidRPr="00B62337">
        <w:rPr>
          <w:rFonts w:eastAsia="Cambria"/>
        </w:rPr>
        <w:t>Socialization programs can provide much-needed social interaction for the care recipient and a break for the caregiver.  Caregivers often feel alone and isolated, believing that only they can provide care</w:t>
      </w:r>
      <w:r w:rsidR="009224E9">
        <w:rPr>
          <w:rFonts w:eastAsia="Cambria"/>
        </w:rPr>
        <w:t>,</w:t>
      </w:r>
      <w:r w:rsidRPr="00B62337">
        <w:rPr>
          <w:rFonts w:eastAsia="Cambria"/>
        </w:rPr>
        <w:t xml:space="preserve"> even as the</w:t>
      </w:r>
      <w:r w:rsidR="009224E9">
        <w:rPr>
          <w:rFonts w:eastAsia="Cambria"/>
        </w:rPr>
        <w:t xml:space="preserve"> </w:t>
      </w:r>
      <w:r w:rsidR="001F0BD4">
        <w:rPr>
          <w:rFonts w:eastAsia="Cambria"/>
        </w:rPr>
        <w:t xml:space="preserve">persons </w:t>
      </w:r>
      <w:r w:rsidR="009224E9">
        <w:rPr>
          <w:rFonts w:eastAsia="Cambria"/>
        </w:rPr>
        <w:t>in their care</w:t>
      </w:r>
      <w:r w:rsidRPr="00B62337">
        <w:rPr>
          <w:rFonts w:eastAsia="Cambria"/>
        </w:rPr>
        <w:t xml:space="preserve"> enter new phases of </w:t>
      </w:r>
      <w:r w:rsidRPr="00B62337">
        <w:rPr>
          <w:rFonts w:eastAsia="Cambria"/>
        </w:rPr>
        <w:lastRenderedPageBreak/>
        <w:t>the disease</w:t>
      </w:r>
      <w:r w:rsidR="00BE648B">
        <w:rPr>
          <w:rFonts w:eastAsia="Cambria"/>
        </w:rPr>
        <w:t>.</w:t>
      </w:r>
      <w:r w:rsidR="00341877">
        <w:rPr>
          <w:rFonts w:eastAsia="Cambria"/>
        </w:rPr>
        <w:t xml:space="preserve">  Support </w:t>
      </w:r>
      <w:r w:rsidRPr="00B62337">
        <w:rPr>
          <w:rFonts w:eastAsia="Cambria"/>
        </w:rPr>
        <w:t xml:space="preserve">groups for caregivers are important </w:t>
      </w:r>
      <w:r w:rsidR="006E3341">
        <w:rPr>
          <w:rFonts w:eastAsia="Cambria"/>
        </w:rPr>
        <w:t xml:space="preserve">because they provide:  </w:t>
      </w:r>
      <w:r w:rsidRPr="00B62337">
        <w:rPr>
          <w:rFonts w:eastAsia="Cambria"/>
        </w:rPr>
        <w:t xml:space="preserve">emotional support, stress management, </w:t>
      </w:r>
      <w:r w:rsidR="00206E24">
        <w:rPr>
          <w:rFonts w:eastAsia="Cambria"/>
        </w:rPr>
        <w:t xml:space="preserve">problem-solving and coping skills, </w:t>
      </w:r>
      <w:r w:rsidRPr="00B62337">
        <w:rPr>
          <w:rFonts w:eastAsia="Cambria"/>
        </w:rPr>
        <w:t xml:space="preserve">and </w:t>
      </w:r>
      <w:r w:rsidR="006E3341">
        <w:rPr>
          <w:rFonts w:eastAsia="Cambria"/>
        </w:rPr>
        <w:t xml:space="preserve">opportunities to learn </w:t>
      </w:r>
      <w:r w:rsidRPr="00B62337">
        <w:rPr>
          <w:rFonts w:eastAsia="Cambria"/>
        </w:rPr>
        <w:t>helpful techniques from others.</w:t>
      </w:r>
    </w:p>
    <w:p w:rsidR="00AB074D" w:rsidRPr="00B62337" w:rsidRDefault="00AB074D" w:rsidP="00AB074D">
      <w:pPr>
        <w:jc w:val="both"/>
        <w:rPr>
          <w:rFonts w:eastAsia="Cambria"/>
        </w:rPr>
      </w:pPr>
    </w:p>
    <w:p w:rsidR="00AB074D" w:rsidRPr="00B62337" w:rsidRDefault="00AB074D" w:rsidP="00AB074D">
      <w:pPr>
        <w:jc w:val="both"/>
        <w:rPr>
          <w:rFonts w:eastAsia="Cambria"/>
        </w:rPr>
      </w:pPr>
      <w:r w:rsidRPr="00B62337">
        <w:rPr>
          <w:rFonts w:eastAsia="Cambria"/>
        </w:rPr>
        <w:t xml:space="preserve">Nevada’s ADRC </w:t>
      </w:r>
      <w:r w:rsidR="00C81F57">
        <w:rPr>
          <w:rFonts w:eastAsia="Cambria"/>
        </w:rPr>
        <w:t xml:space="preserve">provides a </w:t>
      </w:r>
      <w:r w:rsidRPr="00B62337">
        <w:rPr>
          <w:rFonts w:eastAsia="Cambria"/>
        </w:rPr>
        <w:t xml:space="preserve">website </w:t>
      </w:r>
      <w:r w:rsidR="00C81F57">
        <w:rPr>
          <w:rFonts w:eastAsia="Cambria"/>
        </w:rPr>
        <w:t xml:space="preserve">that </w:t>
      </w:r>
      <w:r w:rsidRPr="00B62337">
        <w:rPr>
          <w:rFonts w:eastAsia="Cambria"/>
        </w:rPr>
        <w:t xml:space="preserve">lists support groups and other nonmedical services and also publishes a Community Resource Guide.  In addition, </w:t>
      </w:r>
      <w:hyperlink r:id="rId11" w:history="1">
        <w:r w:rsidRPr="00BE648B">
          <w:rPr>
            <w:rStyle w:val="Hyperlink"/>
            <w:rFonts w:eastAsia="Cambria"/>
          </w:rPr>
          <w:t>Alzheimers.gov</w:t>
        </w:r>
      </w:hyperlink>
      <w:r w:rsidRPr="00B62337">
        <w:rPr>
          <w:rFonts w:eastAsia="Cambria"/>
        </w:rPr>
        <w:t xml:space="preserve"> and </w:t>
      </w:r>
      <w:hyperlink r:id="rId12" w:history="1">
        <w:r w:rsidRPr="00BE648B">
          <w:rPr>
            <w:rStyle w:val="Hyperlink"/>
            <w:rFonts w:eastAsia="Cambria"/>
          </w:rPr>
          <w:t>alz.org</w:t>
        </w:r>
      </w:hyperlink>
      <w:r w:rsidRPr="00B62337">
        <w:rPr>
          <w:rFonts w:eastAsia="Cambria"/>
        </w:rPr>
        <w:t xml:space="preserve"> are national websites that connect caregivers to available resources.  Even with these referral sites, many of the individuals who testified before the Task</w:t>
      </w:r>
      <w:r w:rsidR="00371AD2">
        <w:rPr>
          <w:rFonts w:eastAsia="Cambria"/>
        </w:rPr>
        <w:t> </w:t>
      </w:r>
      <w:r w:rsidRPr="00B62337">
        <w:rPr>
          <w:rFonts w:eastAsia="Cambria"/>
        </w:rPr>
        <w:t xml:space="preserve">Force noted difficultly for families and professionals in locating and connecting with existing resources.  Many caregivers are unaware of </w:t>
      </w:r>
      <w:r w:rsidR="00C81F57">
        <w:rPr>
          <w:rFonts w:eastAsia="Cambria"/>
        </w:rPr>
        <w:t xml:space="preserve">free or low-cost </w:t>
      </w:r>
      <w:r w:rsidRPr="00B62337">
        <w:rPr>
          <w:rFonts w:eastAsia="Cambria"/>
        </w:rPr>
        <w:t xml:space="preserve">services </w:t>
      </w:r>
      <w:r w:rsidR="00C81F57">
        <w:rPr>
          <w:rFonts w:eastAsia="Cambria"/>
        </w:rPr>
        <w:t xml:space="preserve">that are available </w:t>
      </w:r>
      <w:r w:rsidRPr="00B62337">
        <w:rPr>
          <w:rFonts w:eastAsia="Cambria"/>
        </w:rPr>
        <w:t>in Nevada</w:t>
      </w:r>
      <w:r w:rsidR="00C81F57">
        <w:rPr>
          <w:rFonts w:eastAsia="Cambria"/>
        </w:rPr>
        <w:t>.</w:t>
      </w:r>
      <w:r w:rsidRPr="00B62337">
        <w:rPr>
          <w:rFonts w:eastAsia="Cambria"/>
        </w:rPr>
        <w:t xml:space="preserve">  </w:t>
      </w:r>
    </w:p>
    <w:p w:rsidR="00AB074D" w:rsidRPr="00B62337" w:rsidRDefault="00AB074D" w:rsidP="00AB074D">
      <w:pPr>
        <w:contextualSpacing/>
        <w:jc w:val="both"/>
        <w:rPr>
          <w:rFonts w:eastAsia="Calibri"/>
          <w:i/>
          <w:spacing w:val="-3"/>
        </w:rPr>
      </w:pPr>
    </w:p>
    <w:p w:rsidR="00005EFE" w:rsidRPr="00AB1E1B" w:rsidRDefault="00AB074D" w:rsidP="00A047C6">
      <w:pPr>
        <w:jc w:val="both"/>
      </w:pPr>
      <w:r w:rsidRPr="00005EFE">
        <w:rPr>
          <w:rFonts w:eastAsia="Calibri"/>
          <w:b/>
          <w:noProof/>
        </w:rPr>
        <w:t>Recommendation</w:t>
      </w:r>
      <w:r w:rsidR="006964E4">
        <w:rPr>
          <w:rFonts w:eastAsia="Calibri"/>
          <w:b/>
          <w:noProof/>
        </w:rPr>
        <w:t xml:space="preserve"> 1</w:t>
      </w:r>
      <w:r w:rsidRPr="00005EFE">
        <w:rPr>
          <w:rFonts w:eastAsia="Calibri"/>
          <w:noProof/>
        </w:rPr>
        <w:t>:</w:t>
      </w:r>
      <w:r w:rsidR="00371AD2" w:rsidRPr="00005EFE">
        <w:rPr>
          <w:rFonts w:eastAsia="Calibri"/>
          <w:noProof/>
        </w:rPr>
        <w:t xml:space="preserve"> </w:t>
      </w:r>
      <w:r w:rsidRPr="00005EFE">
        <w:rPr>
          <w:rFonts w:eastAsia="Calibri"/>
          <w:noProof/>
        </w:rPr>
        <w:t xml:space="preserve"> </w:t>
      </w:r>
      <w:r w:rsidR="002C6AF8" w:rsidRPr="0079068D">
        <w:rPr>
          <w:rFonts w:eastAsia="Calibri"/>
          <w:noProof/>
        </w:rPr>
        <w:t xml:space="preserve">Establish and fund a statewide information and referral system for those with Alzheimer’s </w:t>
      </w:r>
      <w:r w:rsidR="002C6AF8">
        <w:rPr>
          <w:rFonts w:eastAsia="Calibri"/>
          <w:noProof/>
        </w:rPr>
        <w:t>d</w:t>
      </w:r>
      <w:r w:rsidR="002C6AF8" w:rsidRPr="0079068D">
        <w:rPr>
          <w:rFonts w:eastAsia="Calibri"/>
          <w:noProof/>
        </w:rPr>
        <w:t xml:space="preserve">isease and </w:t>
      </w:r>
      <w:r w:rsidR="00C4163C">
        <w:rPr>
          <w:rFonts w:eastAsia="Calibri"/>
          <w:noProof/>
        </w:rPr>
        <w:t>related disorders</w:t>
      </w:r>
      <w:r w:rsidR="002C6AF8" w:rsidRPr="0079068D">
        <w:rPr>
          <w:rFonts w:eastAsia="Calibri"/>
          <w:noProof/>
        </w:rPr>
        <w:t>, their caregivers, and their families</w:t>
      </w:r>
      <w:r w:rsidR="002C6AF8">
        <w:rPr>
          <w:rFonts w:eastAsia="Calibri"/>
          <w:noProof/>
        </w:rPr>
        <w:t xml:space="preserve"> to </w:t>
      </w:r>
      <w:r w:rsidR="002C6AF8" w:rsidRPr="0079068D">
        <w:rPr>
          <w:rFonts w:eastAsia="Calibri"/>
          <w:noProof/>
        </w:rPr>
        <w:t>enable them</w:t>
      </w:r>
      <w:r w:rsidR="002C6AF8" w:rsidRPr="00AB1E1B">
        <w:rPr>
          <w:rFonts w:eastAsia="Calibri"/>
          <w:noProof/>
        </w:rPr>
        <w:t xml:space="preserve"> to connect with local case management and support services</w:t>
      </w:r>
      <w:r w:rsidR="001622DB">
        <w:rPr>
          <w:rFonts w:eastAsia="Calibri"/>
          <w:noProof/>
        </w:rPr>
        <w:t xml:space="preserve">, </w:t>
      </w:r>
      <w:r w:rsidR="002C6AF8" w:rsidRPr="00AB1E1B">
        <w:rPr>
          <w:rFonts w:eastAsia="Calibri"/>
          <w:noProof/>
        </w:rPr>
        <w:t>e.g., resource centers</w:t>
      </w:r>
      <w:r w:rsidR="001622DB">
        <w:rPr>
          <w:rFonts w:eastAsia="Calibri"/>
          <w:noProof/>
        </w:rPr>
        <w:t>.</w:t>
      </w:r>
      <w:r w:rsidR="002C6AF8" w:rsidRPr="00AB1E1B">
        <w:rPr>
          <w:rFonts w:eastAsia="Calibri"/>
          <w:noProof/>
        </w:rPr>
        <w:t xml:space="preserve">, such as </w:t>
      </w:r>
      <w:r w:rsidR="002C6AF8">
        <w:rPr>
          <w:rFonts w:eastAsia="Calibri"/>
          <w:noProof/>
        </w:rPr>
        <w:t>Nevada Aging and Disability Resource Centers (</w:t>
      </w:r>
      <w:r w:rsidR="002C6AF8" w:rsidRPr="00AB1E1B">
        <w:rPr>
          <w:rFonts w:eastAsia="Calibri"/>
          <w:noProof/>
        </w:rPr>
        <w:t>ADRC</w:t>
      </w:r>
      <w:r w:rsidR="002C6AF8">
        <w:rPr>
          <w:rFonts w:eastAsia="Calibri"/>
          <w:noProof/>
        </w:rPr>
        <w:t>)</w:t>
      </w:r>
      <w:r w:rsidR="002C6AF8" w:rsidRPr="00AB1E1B">
        <w:rPr>
          <w:rFonts w:eastAsia="Calibri"/>
          <w:noProof/>
        </w:rPr>
        <w:t>.</w:t>
      </w:r>
    </w:p>
    <w:p w:rsidR="00AB074D" w:rsidRPr="00B62337" w:rsidRDefault="00AB074D" w:rsidP="00AB074D">
      <w:pPr>
        <w:contextualSpacing/>
        <w:jc w:val="both"/>
        <w:rPr>
          <w:rFonts w:eastAsia="Calibri"/>
          <w:noProof/>
          <w:spacing w:val="-3"/>
        </w:rPr>
      </w:pPr>
    </w:p>
    <w:p w:rsidR="00AB074D" w:rsidRDefault="00AB074D" w:rsidP="00AB074D">
      <w:pPr>
        <w:contextualSpacing/>
        <w:jc w:val="both"/>
        <w:rPr>
          <w:rFonts w:eastAsia="Calibri"/>
          <w:b/>
          <w:noProof/>
          <w:spacing w:val="-3"/>
        </w:rPr>
      </w:pPr>
      <w:r w:rsidRPr="00B62337">
        <w:rPr>
          <w:rFonts w:eastAsia="Calibri"/>
          <w:b/>
          <w:noProof/>
          <w:spacing w:val="-3"/>
        </w:rPr>
        <w:t xml:space="preserve">Indicator: </w:t>
      </w:r>
      <w:r w:rsidR="00C401B2">
        <w:rPr>
          <w:rFonts w:eastAsia="Calibri"/>
          <w:b/>
          <w:noProof/>
          <w:spacing w:val="-3"/>
        </w:rPr>
        <w:t xml:space="preserve"> </w:t>
      </w:r>
      <w:r w:rsidR="0075196F" w:rsidRPr="00890F57">
        <w:rPr>
          <w:rFonts w:eastAsia="Calibri"/>
          <w:noProof/>
          <w:spacing w:val="-3"/>
        </w:rPr>
        <w:t>Establish a collaboration amongst existing recource centers including Nevada ADRC,  Northern California</w:t>
      </w:r>
      <w:r w:rsidR="00890F57">
        <w:rPr>
          <w:rFonts w:eastAsia="Calibri"/>
          <w:noProof/>
          <w:spacing w:val="-3"/>
        </w:rPr>
        <w:t xml:space="preserve"> and Northern Nevada Chapter of the Alzheimer’s Association</w:t>
      </w:r>
      <w:r w:rsidR="0075196F" w:rsidRPr="00890F57">
        <w:rPr>
          <w:rFonts w:eastAsia="Calibri"/>
          <w:noProof/>
          <w:spacing w:val="-3"/>
        </w:rPr>
        <w:t xml:space="preserve">, Southern Nevada </w:t>
      </w:r>
      <w:r w:rsidR="00890F57">
        <w:rPr>
          <w:rFonts w:eastAsia="Calibri"/>
          <w:noProof/>
          <w:spacing w:val="-3"/>
        </w:rPr>
        <w:t xml:space="preserve">Region, Desert Southwest Chapter of the Alzheimer’s Association </w:t>
      </w:r>
      <w:r w:rsidR="0075196F" w:rsidRPr="00890F57">
        <w:rPr>
          <w:rFonts w:eastAsia="Calibri"/>
          <w:noProof/>
          <w:spacing w:val="-3"/>
        </w:rPr>
        <w:t>to develop plans for information and referral system.</w:t>
      </w:r>
      <w:r w:rsidR="0075196F">
        <w:rPr>
          <w:rFonts w:eastAsia="Calibri"/>
          <w:b/>
          <w:noProof/>
          <w:spacing w:val="-3"/>
        </w:rPr>
        <w:t xml:space="preserve">  </w:t>
      </w:r>
      <w:r w:rsidR="00B917D5">
        <w:rPr>
          <w:rFonts w:eastAsia="Calibri"/>
          <w:b/>
          <w:noProof/>
          <w:spacing w:val="-3"/>
        </w:rPr>
        <w:t xml:space="preserve"> </w:t>
      </w:r>
      <w:r w:rsidRPr="00B62337">
        <w:rPr>
          <w:rFonts w:eastAsia="Calibri"/>
          <w:noProof/>
          <w:spacing w:val="-3"/>
        </w:rPr>
        <w:t>Monitor the number of contacts made by outreach programs, the number of inquiries regarding information or se</w:t>
      </w:r>
      <w:r w:rsidR="00172DBD">
        <w:rPr>
          <w:rFonts w:eastAsia="Calibri"/>
          <w:noProof/>
          <w:spacing w:val="-3"/>
        </w:rPr>
        <w:t>rvices relating to Alzheimer’s d</w:t>
      </w:r>
      <w:r w:rsidRPr="00B62337">
        <w:rPr>
          <w:rFonts w:eastAsia="Calibri"/>
          <w:noProof/>
          <w:spacing w:val="-3"/>
        </w:rPr>
        <w:t xml:space="preserve">isease and </w:t>
      </w:r>
      <w:r w:rsidR="00A73984">
        <w:rPr>
          <w:rFonts w:eastAsia="Calibri"/>
          <w:noProof/>
          <w:spacing w:val="-3"/>
        </w:rPr>
        <w:t>related disorders</w:t>
      </w:r>
      <w:r w:rsidRPr="00B62337">
        <w:rPr>
          <w:rFonts w:eastAsia="Calibri"/>
          <w:noProof/>
          <w:spacing w:val="-3"/>
        </w:rPr>
        <w:t xml:space="preserve"> received by the ADRC</w:t>
      </w:r>
      <w:r w:rsidR="00611F58">
        <w:rPr>
          <w:rFonts w:eastAsia="Calibri"/>
          <w:noProof/>
          <w:spacing w:val="-3"/>
        </w:rPr>
        <w:t>,</w:t>
      </w:r>
      <w:r w:rsidRPr="00B62337">
        <w:rPr>
          <w:rFonts w:eastAsia="Calibri"/>
          <w:noProof/>
          <w:spacing w:val="-3"/>
        </w:rPr>
        <w:t xml:space="preserve"> and the number of</w:t>
      </w:r>
      <w:r w:rsidR="004357D1">
        <w:rPr>
          <w:rFonts w:eastAsia="Calibri"/>
          <w:noProof/>
          <w:spacing w:val="-3"/>
        </w:rPr>
        <w:t xml:space="preserve"> </w:t>
      </w:r>
      <w:r w:rsidRPr="00B62337">
        <w:rPr>
          <w:rFonts w:eastAsia="Calibri"/>
          <w:noProof/>
          <w:spacing w:val="-3"/>
        </w:rPr>
        <w:t>“hits” on information sites</w:t>
      </w:r>
      <w:r w:rsidR="004357D1">
        <w:rPr>
          <w:rFonts w:eastAsia="Calibri"/>
          <w:noProof/>
          <w:spacing w:val="-3"/>
        </w:rPr>
        <w:t>,</w:t>
      </w:r>
      <w:r w:rsidRPr="00B62337">
        <w:rPr>
          <w:rFonts w:eastAsia="Calibri"/>
          <w:noProof/>
          <w:spacing w:val="-3"/>
        </w:rPr>
        <w:t xml:space="preserve"> such as an expanded </w:t>
      </w:r>
      <w:hyperlink r:id="rId13" w:history="1">
        <w:r w:rsidRPr="00C401B2">
          <w:rPr>
            <w:rStyle w:val="Hyperlink"/>
            <w:rFonts w:eastAsia="Calibri"/>
            <w:noProof/>
            <w:spacing w:val="-3"/>
          </w:rPr>
          <w:t>nevadaadrc.com</w:t>
        </w:r>
      </w:hyperlink>
      <w:r w:rsidRPr="00B62337">
        <w:rPr>
          <w:rFonts w:eastAsia="Calibri"/>
          <w:noProof/>
          <w:spacing w:val="-3"/>
        </w:rPr>
        <w:t>,</w:t>
      </w:r>
      <w:r w:rsidRPr="00B62337">
        <w:rPr>
          <w:rFonts w:eastAsia="Cambria"/>
        </w:rPr>
        <w:t xml:space="preserve"> </w:t>
      </w:r>
      <w:hyperlink r:id="rId14" w:history="1">
        <w:r w:rsidRPr="00ED31E2">
          <w:rPr>
            <w:rStyle w:val="Hyperlink"/>
            <w:rFonts w:eastAsia="Calibri"/>
            <w:noProof/>
            <w:spacing w:val="-3"/>
          </w:rPr>
          <w:t>alz.org/norcal</w:t>
        </w:r>
      </w:hyperlink>
      <w:r w:rsidRPr="00B62337">
        <w:rPr>
          <w:rFonts w:eastAsia="Calibri"/>
          <w:noProof/>
          <w:spacing w:val="-3"/>
        </w:rPr>
        <w:t xml:space="preserve"> for Northern Nevada and </w:t>
      </w:r>
      <w:hyperlink r:id="rId15" w:history="1">
        <w:r w:rsidRPr="00ED31E2">
          <w:rPr>
            <w:rStyle w:val="Hyperlink"/>
            <w:rFonts w:eastAsia="Calibri"/>
            <w:noProof/>
            <w:spacing w:val="-3"/>
          </w:rPr>
          <w:t>alz.org/dsw</w:t>
        </w:r>
      </w:hyperlink>
      <w:r w:rsidRPr="00B62337">
        <w:rPr>
          <w:rFonts w:eastAsia="Calibri"/>
          <w:noProof/>
          <w:spacing w:val="-3"/>
        </w:rPr>
        <w:t xml:space="preserve"> for Southern</w:t>
      </w:r>
      <w:r w:rsidR="00ED31E2">
        <w:rPr>
          <w:rFonts w:eastAsia="Calibri"/>
          <w:noProof/>
          <w:spacing w:val="-3"/>
        </w:rPr>
        <w:t> </w:t>
      </w:r>
      <w:r w:rsidR="00FB2747">
        <w:rPr>
          <w:rFonts w:eastAsia="Calibri"/>
          <w:noProof/>
          <w:spacing w:val="-3"/>
        </w:rPr>
        <w:t>Nevada, and </w:t>
      </w:r>
      <w:hyperlink r:id="rId16" w:history="1">
        <w:r w:rsidRPr="00ED31E2">
          <w:rPr>
            <w:rStyle w:val="Hyperlink"/>
            <w:rFonts w:eastAsia="Calibri"/>
            <w:noProof/>
            <w:spacing w:val="-3"/>
          </w:rPr>
          <w:t>Alzheimers.gov</w:t>
        </w:r>
      </w:hyperlink>
      <w:r w:rsidR="00F670B9">
        <w:rPr>
          <w:rFonts w:eastAsia="Calibri"/>
          <w:noProof/>
          <w:spacing w:val="-3"/>
        </w:rPr>
        <w:t>.</w:t>
      </w:r>
      <w:r w:rsidR="00923591" w:rsidRPr="0075196F" w:rsidDel="00923591">
        <w:rPr>
          <w:rFonts w:eastAsia="Calibri"/>
          <w:b/>
          <w:noProof/>
          <w:spacing w:val="-3"/>
        </w:rPr>
        <w:t xml:space="preserve"> </w:t>
      </w:r>
    </w:p>
    <w:p w:rsidR="006243A1" w:rsidRPr="00B62337" w:rsidRDefault="006243A1" w:rsidP="00AB074D">
      <w:pPr>
        <w:contextualSpacing/>
        <w:jc w:val="both"/>
        <w:rPr>
          <w:rFonts w:eastAsia="Calibri"/>
          <w:b/>
          <w:noProof/>
          <w:spacing w:val="-3"/>
        </w:rPr>
      </w:pPr>
    </w:p>
    <w:p w:rsidR="00AB074D" w:rsidRPr="00B62337" w:rsidRDefault="001C6174" w:rsidP="00AB074D">
      <w:pPr>
        <w:contextualSpacing/>
        <w:jc w:val="both"/>
        <w:rPr>
          <w:rFonts w:eastAsia="Calibri"/>
          <w:b/>
          <w:i/>
          <w:spacing w:val="-3"/>
        </w:rPr>
      </w:pPr>
      <w:r w:rsidRPr="00B62337">
        <w:rPr>
          <w:rFonts w:eastAsia="Calibri"/>
          <w:b/>
          <w:noProof/>
          <w:spacing w:val="-3"/>
        </w:rPr>
        <w:t>Potential Funding:</w:t>
      </w:r>
      <w:r w:rsidR="00F670B9">
        <w:rPr>
          <w:rFonts w:eastAsia="Calibri"/>
          <w:b/>
          <w:noProof/>
          <w:spacing w:val="-3"/>
        </w:rPr>
        <w:t xml:space="preserve"> </w:t>
      </w:r>
      <w:r w:rsidR="00AB074D" w:rsidRPr="00B62337">
        <w:rPr>
          <w:rFonts w:eastAsia="Calibri"/>
          <w:b/>
          <w:noProof/>
          <w:spacing w:val="-3"/>
        </w:rPr>
        <w:t xml:space="preserve"> </w:t>
      </w:r>
      <w:r w:rsidR="00AB074D" w:rsidRPr="00B62337">
        <w:rPr>
          <w:rFonts w:eastAsia="Calibri"/>
          <w:noProof/>
          <w:spacing w:val="-3"/>
        </w:rPr>
        <w:t>Older American</w:t>
      </w:r>
      <w:r w:rsidR="00172DBD">
        <w:rPr>
          <w:rFonts w:eastAsia="Calibri"/>
          <w:noProof/>
          <w:spacing w:val="-3"/>
        </w:rPr>
        <w:t>s</w:t>
      </w:r>
      <w:r w:rsidR="00AB074D" w:rsidRPr="00B62337">
        <w:rPr>
          <w:rFonts w:eastAsia="Calibri"/>
          <w:noProof/>
          <w:spacing w:val="-3"/>
        </w:rPr>
        <w:t xml:space="preserve"> Act funds</w:t>
      </w:r>
      <w:r w:rsidR="004357D1">
        <w:rPr>
          <w:rFonts w:eastAsia="Calibri"/>
          <w:noProof/>
          <w:spacing w:val="-3"/>
        </w:rPr>
        <w:t>;</w:t>
      </w:r>
      <w:r w:rsidR="00AB074D" w:rsidRPr="00B62337">
        <w:rPr>
          <w:rFonts w:eastAsia="Calibri"/>
          <w:noProof/>
          <w:spacing w:val="-3"/>
        </w:rPr>
        <w:t xml:space="preserve"> </w:t>
      </w:r>
      <w:r w:rsidR="004357D1">
        <w:rPr>
          <w:rFonts w:eastAsia="Calibri"/>
          <w:noProof/>
          <w:spacing w:val="-3"/>
        </w:rPr>
        <w:t xml:space="preserve">free </w:t>
      </w:r>
      <w:r w:rsidR="00AB074D" w:rsidRPr="00B62337">
        <w:rPr>
          <w:rFonts w:eastAsia="Calibri"/>
          <w:noProof/>
          <w:spacing w:val="-3"/>
        </w:rPr>
        <w:t>public service announcements</w:t>
      </w:r>
      <w:r w:rsidR="004357D1">
        <w:rPr>
          <w:rFonts w:eastAsia="Calibri"/>
          <w:noProof/>
          <w:spacing w:val="-3"/>
        </w:rPr>
        <w:t>; free appearances on public affairs programs; free media resource for news and feature stories (print, electronic, and Internet)</w:t>
      </w:r>
      <w:r w:rsidR="00761C2B">
        <w:rPr>
          <w:rFonts w:eastAsia="Calibri"/>
          <w:noProof/>
          <w:spacing w:val="-3"/>
        </w:rPr>
        <w:t>; other (yet to be identified)</w:t>
      </w:r>
      <w:r w:rsidR="004357D1">
        <w:rPr>
          <w:rFonts w:eastAsia="Calibri"/>
          <w:noProof/>
          <w:spacing w:val="-3"/>
        </w:rPr>
        <w:t>.</w:t>
      </w:r>
      <w:r w:rsidR="00AB074D" w:rsidRPr="00B62337">
        <w:rPr>
          <w:rFonts w:eastAsia="Calibri"/>
          <w:b/>
          <w:noProof/>
          <w:spacing w:val="-3"/>
        </w:rPr>
        <w:t xml:space="preserve"> </w:t>
      </w:r>
    </w:p>
    <w:p w:rsidR="00AB074D" w:rsidRPr="00B62337" w:rsidRDefault="00AB074D" w:rsidP="00AB074D">
      <w:pPr>
        <w:jc w:val="both"/>
        <w:rPr>
          <w:rFonts w:eastAsia="Cambria"/>
        </w:rPr>
      </w:pPr>
    </w:p>
    <w:p w:rsidR="00AB074D" w:rsidRPr="00B62337" w:rsidRDefault="00AB074D" w:rsidP="00AB074D">
      <w:pPr>
        <w:jc w:val="both"/>
        <w:rPr>
          <w:rFonts w:eastAsia="Cambria"/>
          <w:u w:val="single"/>
        </w:rPr>
      </w:pPr>
      <w:r w:rsidRPr="00B62337">
        <w:rPr>
          <w:rFonts w:eastAsia="Cambria"/>
          <w:u w:val="single"/>
        </w:rPr>
        <w:t>Rural Services</w:t>
      </w:r>
    </w:p>
    <w:p w:rsidR="00AB074D" w:rsidRPr="00B62337" w:rsidRDefault="00AB074D" w:rsidP="00AB074D">
      <w:pPr>
        <w:jc w:val="both"/>
        <w:rPr>
          <w:rFonts w:eastAsia="Cambria"/>
          <w:u w:val="single"/>
        </w:rPr>
      </w:pPr>
    </w:p>
    <w:p w:rsidR="00AB074D" w:rsidRPr="00B62337" w:rsidRDefault="00C81F57" w:rsidP="00AB074D">
      <w:pPr>
        <w:jc w:val="both"/>
        <w:rPr>
          <w:rFonts w:eastAsia="Cambria"/>
        </w:rPr>
      </w:pPr>
      <w:r>
        <w:rPr>
          <w:rFonts w:eastAsia="Cambria"/>
        </w:rPr>
        <w:t>G</w:t>
      </w:r>
      <w:r w:rsidRPr="00B62337">
        <w:rPr>
          <w:rFonts w:eastAsia="Cambria"/>
        </w:rPr>
        <w:t>eographical</w:t>
      </w:r>
      <w:r>
        <w:rPr>
          <w:rFonts w:eastAsia="Cambria"/>
        </w:rPr>
        <w:t>ly,</w:t>
      </w:r>
      <w:r w:rsidRPr="00B62337">
        <w:rPr>
          <w:rFonts w:eastAsia="Cambria"/>
        </w:rPr>
        <w:t xml:space="preserve"> </w:t>
      </w:r>
      <w:r w:rsidR="00AB074D" w:rsidRPr="00B62337">
        <w:rPr>
          <w:rFonts w:eastAsia="Cambria"/>
        </w:rPr>
        <w:t>Nevada i</w:t>
      </w:r>
      <w:r w:rsidR="004357D1">
        <w:rPr>
          <w:rFonts w:eastAsia="Cambria"/>
        </w:rPr>
        <w:t>s a unique state</w:t>
      </w:r>
      <w:r w:rsidR="00AB074D" w:rsidRPr="00B62337">
        <w:rPr>
          <w:rFonts w:eastAsia="Cambria"/>
        </w:rPr>
        <w:t xml:space="preserve">.  The three metropolitan areas of the </w:t>
      </w:r>
      <w:r w:rsidR="00F670B9">
        <w:rPr>
          <w:rFonts w:eastAsia="Cambria"/>
        </w:rPr>
        <w:t>S</w:t>
      </w:r>
      <w:r w:rsidR="00AB074D" w:rsidRPr="00B62337">
        <w:rPr>
          <w:rFonts w:eastAsia="Cambria"/>
        </w:rPr>
        <w:t xml:space="preserve">tate, Reno/Sparks/Carson City, Elko, and Las Vegas, are located in corners of the </w:t>
      </w:r>
      <w:r w:rsidR="00F670B9">
        <w:rPr>
          <w:rFonts w:eastAsia="Cambria"/>
        </w:rPr>
        <w:t>S</w:t>
      </w:r>
      <w:r w:rsidR="00AB074D" w:rsidRPr="00B62337">
        <w:rPr>
          <w:rFonts w:eastAsia="Cambria"/>
        </w:rPr>
        <w:t xml:space="preserve">tate with vast stretches of open road and smaller towns between them.  </w:t>
      </w:r>
      <w:r w:rsidR="00615193">
        <w:rPr>
          <w:rFonts w:eastAsia="Cambria"/>
        </w:rPr>
        <w:t>People</w:t>
      </w:r>
      <w:r w:rsidR="00AB074D" w:rsidRPr="00B62337">
        <w:rPr>
          <w:rFonts w:eastAsia="Cambria"/>
        </w:rPr>
        <w:t xml:space="preserve"> in Nevada’s rural areas are geographically isolated from many services.  Consequently, isolated towns have </w:t>
      </w:r>
      <w:r w:rsidR="005F362F" w:rsidRPr="00B62337">
        <w:rPr>
          <w:rFonts w:eastAsia="Cambria"/>
        </w:rPr>
        <w:t>difficulty</w:t>
      </w:r>
      <w:r w:rsidR="005F362F">
        <w:rPr>
          <w:rFonts w:eastAsia="Cambria"/>
        </w:rPr>
        <w:t xml:space="preserve"> </w:t>
      </w:r>
      <w:r w:rsidR="00334E65">
        <w:rPr>
          <w:rFonts w:eastAsia="Cambria"/>
        </w:rPr>
        <w:t>r</w:t>
      </w:r>
      <w:r w:rsidR="005F362F" w:rsidRPr="00B62337">
        <w:rPr>
          <w:rFonts w:eastAsia="Cambria"/>
        </w:rPr>
        <w:t>ecruiting</w:t>
      </w:r>
      <w:r w:rsidR="00AB074D" w:rsidRPr="00B62337">
        <w:rPr>
          <w:rFonts w:eastAsia="Cambria"/>
        </w:rPr>
        <w:t xml:space="preserve"> specialists in neurology or geriatrics to provide services in their communities. </w:t>
      </w:r>
      <w:r w:rsidR="00F670B9">
        <w:rPr>
          <w:rFonts w:eastAsia="Cambria"/>
        </w:rPr>
        <w:t xml:space="preserve"> </w:t>
      </w:r>
      <w:r w:rsidR="00AB074D" w:rsidRPr="00B62337">
        <w:rPr>
          <w:rFonts w:eastAsia="Cambria"/>
        </w:rPr>
        <w:t>In</w:t>
      </w:r>
      <w:r w:rsidR="00F670B9">
        <w:rPr>
          <w:rFonts w:eastAsia="Cambria"/>
        </w:rPr>
        <w:t> </w:t>
      </w:r>
      <w:r w:rsidR="00AB074D" w:rsidRPr="00B62337">
        <w:rPr>
          <w:rFonts w:eastAsia="Cambria"/>
        </w:rPr>
        <w:t xml:space="preserve">addition, distance makes face-to-face doctor-patient visits problematic </w:t>
      </w:r>
      <w:r w:rsidR="001B15B5">
        <w:rPr>
          <w:rFonts w:eastAsia="Cambria"/>
        </w:rPr>
        <w:t xml:space="preserve">because of </w:t>
      </w:r>
      <w:r w:rsidR="00330504">
        <w:rPr>
          <w:rFonts w:eastAsia="Cambria"/>
        </w:rPr>
        <w:t xml:space="preserve">the </w:t>
      </w:r>
      <w:r w:rsidR="001B15B5">
        <w:rPr>
          <w:rFonts w:eastAsia="Cambria"/>
        </w:rPr>
        <w:t>lack of</w:t>
      </w:r>
      <w:r w:rsidR="00AB074D" w:rsidRPr="00B62337">
        <w:rPr>
          <w:rFonts w:eastAsia="Cambria"/>
        </w:rPr>
        <w:t xml:space="preserve"> access to transportation services.  Providing transportation with well-trained drivers and support personnel is essential to the best care of individuals with Alzheimer’s </w:t>
      </w:r>
      <w:r w:rsidR="005F362F">
        <w:rPr>
          <w:rFonts w:eastAsia="Cambria"/>
        </w:rPr>
        <w:t>d</w:t>
      </w:r>
      <w:r w:rsidR="00AB074D" w:rsidRPr="00B62337">
        <w:rPr>
          <w:rFonts w:eastAsia="Cambria"/>
        </w:rPr>
        <w:t>isease</w:t>
      </w:r>
      <w:r w:rsidR="00FB2747">
        <w:rPr>
          <w:rFonts w:eastAsia="Cambria"/>
        </w:rPr>
        <w:t xml:space="preserve"> and </w:t>
      </w:r>
      <w:r w:rsidR="00681A9F">
        <w:rPr>
          <w:rFonts w:eastAsia="Cambria"/>
        </w:rPr>
        <w:t>related disorders</w:t>
      </w:r>
      <w:r w:rsidR="00AB074D" w:rsidRPr="00B62337">
        <w:rPr>
          <w:rFonts w:eastAsia="Cambria"/>
        </w:rPr>
        <w:t>.</w:t>
      </w:r>
    </w:p>
    <w:p w:rsidR="00AB074D" w:rsidRPr="00B62337" w:rsidRDefault="00AB074D" w:rsidP="00AB074D">
      <w:pPr>
        <w:jc w:val="both"/>
        <w:rPr>
          <w:rFonts w:eastAsia="Cambria"/>
        </w:rPr>
      </w:pPr>
    </w:p>
    <w:p w:rsidR="00F670B9" w:rsidRDefault="00AB074D" w:rsidP="00612691">
      <w:pPr>
        <w:keepNext/>
        <w:keepLines/>
        <w:autoSpaceDE w:val="0"/>
        <w:autoSpaceDN w:val="0"/>
        <w:adjustRightInd w:val="0"/>
        <w:jc w:val="both"/>
        <w:rPr>
          <w:rFonts w:eastAsia="Cambria"/>
        </w:rPr>
      </w:pPr>
      <w:r w:rsidRPr="00B62337">
        <w:rPr>
          <w:rFonts w:eastAsia="Cambria"/>
        </w:rPr>
        <w:lastRenderedPageBreak/>
        <w:t xml:space="preserve">According to the </w:t>
      </w:r>
      <w:r w:rsidRPr="00B62337">
        <w:rPr>
          <w:rFonts w:eastAsia="Cambria"/>
          <w:i/>
        </w:rPr>
        <w:t>Nevada Rural and Frontier Health Data Book – 2011 Edition</w:t>
      </w:r>
      <w:r w:rsidR="00F670B9">
        <w:rPr>
          <w:rFonts w:eastAsia="Cambria"/>
        </w:rPr>
        <w:t>:</w:t>
      </w:r>
    </w:p>
    <w:p w:rsidR="00F670B9" w:rsidRDefault="00F670B9" w:rsidP="00612691">
      <w:pPr>
        <w:keepNext/>
        <w:keepLines/>
        <w:autoSpaceDE w:val="0"/>
        <w:autoSpaceDN w:val="0"/>
        <w:adjustRightInd w:val="0"/>
        <w:jc w:val="both"/>
        <w:rPr>
          <w:rFonts w:eastAsia="Cambria"/>
        </w:rPr>
      </w:pPr>
    </w:p>
    <w:p w:rsidR="00A971C0" w:rsidRDefault="00AB074D" w:rsidP="00A971C0">
      <w:pPr>
        <w:keepNext/>
        <w:keepLines/>
        <w:autoSpaceDE w:val="0"/>
        <w:autoSpaceDN w:val="0"/>
        <w:adjustRightInd w:val="0"/>
        <w:ind w:left="720" w:right="720"/>
        <w:jc w:val="both"/>
        <w:rPr>
          <w:rFonts w:eastAsia="Cambria"/>
        </w:rPr>
      </w:pPr>
      <w:r w:rsidRPr="00B62337">
        <w:rPr>
          <w:rFonts w:eastAsia="Cambria"/>
        </w:rPr>
        <w:t>Most of Nevada’s rural and frontier communities are located in sparsely populated counties</w:t>
      </w:r>
      <w:r w:rsidR="0027426A" w:rsidRPr="00B62337">
        <w:rPr>
          <w:rFonts w:eastAsia="Cambria"/>
        </w:rPr>
        <w:t xml:space="preserve"> </w:t>
      </w:r>
      <w:r w:rsidRPr="00B62337">
        <w:rPr>
          <w:rFonts w:eastAsia="Cambria"/>
        </w:rPr>
        <w:t>that are considerable distances from the state’s urban and tertiary care centers. The average</w:t>
      </w:r>
      <w:r w:rsidR="00F670B9">
        <w:rPr>
          <w:rFonts w:eastAsia="Cambria"/>
        </w:rPr>
        <w:t xml:space="preserve"> </w:t>
      </w:r>
      <w:r w:rsidRPr="00B62337">
        <w:rPr>
          <w:rFonts w:eastAsia="Cambria"/>
        </w:rPr>
        <w:t>distance between acute care hospitals in rural Nevada and the next level of care or tertiary</w:t>
      </w:r>
      <w:r w:rsidR="00F670B9">
        <w:rPr>
          <w:rFonts w:eastAsia="Cambria"/>
        </w:rPr>
        <w:t xml:space="preserve"> </w:t>
      </w:r>
      <w:r w:rsidRPr="00B62337">
        <w:rPr>
          <w:rFonts w:eastAsia="Cambria"/>
        </w:rPr>
        <w:t>care hospital is 114.7 miles and the average distance to the nearest incorporated town is 46.5</w:t>
      </w:r>
      <w:r w:rsidR="00F670B9">
        <w:rPr>
          <w:rFonts w:eastAsia="Cambria"/>
        </w:rPr>
        <w:t xml:space="preserve"> </w:t>
      </w:r>
      <w:r w:rsidRPr="00B62337">
        <w:rPr>
          <w:rFonts w:eastAsia="Cambria"/>
        </w:rPr>
        <w:t>miles. Consequently, the primary health care delivery issue for rural residents and communities in Nevada is how best to overcome the spatial isolation and enormous geographic distances that characterize most of rural and frontier Nevada.  The eleven towns in Nevada with federally-designated Critical Access Hospitals or “CAHs” are an average distance of 45.5 miles from the nearest incorporated town, an average of 54.4 miles from the next hospital, and an average of 104.8 miles from the next level of care or nearest tertiary care hospital.</w:t>
      </w:r>
    </w:p>
    <w:p w:rsidR="00822352" w:rsidRDefault="00822352">
      <w:pPr>
        <w:keepNext/>
        <w:keepLines/>
        <w:autoSpaceDE w:val="0"/>
        <w:autoSpaceDN w:val="0"/>
        <w:adjustRightInd w:val="0"/>
        <w:ind w:right="720"/>
        <w:jc w:val="both"/>
        <w:rPr>
          <w:rFonts w:eastAsia="Cambria"/>
        </w:rPr>
      </w:pPr>
    </w:p>
    <w:p w:rsidR="00822352" w:rsidRDefault="004E21FC">
      <w:pPr>
        <w:keepNext/>
        <w:keepLines/>
        <w:autoSpaceDE w:val="0"/>
        <w:autoSpaceDN w:val="0"/>
        <w:adjustRightInd w:val="0"/>
        <w:ind w:right="720"/>
        <w:jc w:val="both"/>
        <w:rPr>
          <w:rFonts w:eastAsia="Cambria"/>
        </w:rPr>
      </w:pPr>
      <w:r>
        <w:rPr>
          <w:rFonts w:eastAsia="Cambria"/>
        </w:rPr>
        <w:t xml:space="preserve">Progress has occurred with the introduction of Assembly Bill 170 during the 2013 Legislative Session.  This bill </w:t>
      </w:r>
      <w:r w:rsidR="00A971C0">
        <w:rPr>
          <w:rFonts w:eastAsia="Cambria"/>
        </w:rPr>
        <w:t>proposed revisions related to the Advanced Practice of Nursing.</w:t>
      </w:r>
      <w:r w:rsidR="00772956">
        <w:rPr>
          <w:rFonts w:eastAsia="Cambria"/>
        </w:rPr>
        <w:t xml:space="preserve">  The legislation allowed Advanced Practice of Nursing to prescribe certain medications and administer care independently.</w:t>
      </w:r>
    </w:p>
    <w:p w:rsidR="00AB074D" w:rsidRPr="00B62337" w:rsidRDefault="00AB074D" w:rsidP="00AB074D">
      <w:pPr>
        <w:jc w:val="both"/>
        <w:rPr>
          <w:rFonts w:eastAsia="Cambria"/>
        </w:rPr>
      </w:pPr>
    </w:p>
    <w:p w:rsidR="00755A64" w:rsidRPr="00755A64" w:rsidRDefault="00AB074D" w:rsidP="00A047C6">
      <w:pPr>
        <w:jc w:val="both"/>
        <w:rPr>
          <w:rFonts w:eastAsia="Cambria"/>
        </w:rPr>
      </w:pPr>
      <w:r w:rsidRPr="00755A64">
        <w:rPr>
          <w:rFonts w:eastAsia="Cambria"/>
          <w:b/>
        </w:rPr>
        <w:t>Recommendation</w:t>
      </w:r>
      <w:r w:rsidR="006964E4">
        <w:rPr>
          <w:rFonts w:eastAsia="Cambria"/>
          <w:b/>
        </w:rPr>
        <w:t xml:space="preserve"> 2</w:t>
      </w:r>
      <w:r w:rsidRPr="00755A64">
        <w:rPr>
          <w:rFonts w:eastAsia="Cambria"/>
          <w:b/>
        </w:rPr>
        <w:t>:</w:t>
      </w:r>
      <w:r w:rsidRPr="00755A64">
        <w:rPr>
          <w:rFonts w:eastAsia="Cambria"/>
        </w:rPr>
        <w:t xml:space="preserve">  </w:t>
      </w:r>
      <w:r w:rsidR="00D84177">
        <w:rPr>
          <w:rFonts w:eastAsia="Cambria"/>
        </w:rPr>
        <w:t>Support AB170, passed in the 2013 Legislative Session, that authorizes Advance Practice Registered Nurses (APRN</w:t>
      </w:r>
      <w:r w:rsidR="007B5C6C">
        <w:rPr>
          <w:rFonts w:eastAsia="Cambria"/>
        </w:rPr>
        <w:t>s</w:t>
      </w:r>
      <w:r w:rsidR="00D84177">
        <w:rPr>
          <w:rFonts w:eastAsia="Cambria"/>
        </w:rPr>
        <w:t>) to have independent practices to provide better access to care, especially for rural elders.  In addition, the TFAD supports the connection between the APRN</w:t>
      </w:r>
      <w:r w:rsidR="007B5C6C">
        <w:rPr>
          <w:rFonts w:eastAsia="Cambria"/>
        </w:rPr>
        <w:t xml:space="preserve">s and health care teams to provide ancillary services. </w:t>
      </w:r>
    </w:p>
    <w:p w:rsidR="00AB074D" w:rsidRPr="00B62337" w:rsidRDefault="00AB074D" w:rsidP="00AB074D">
      <w:pPr>
        <w:jc w:val="both"/>
        <w:rPr>
          <w:rFonts w:eastAsia="Cambria"/>
        </w:rPr>
      </w:pPr>
    </w:p>
    <w:p w:rsidR="00AB074D" w:rsidRPr="00B62337" w:rsidRDefault="00AB074D" w:rsidP="00AB074D">
      <w:pPr>
        <w:jc w:val="both"/>
        <w:rPr>
          <w:rFonts w:eastAsia="Cambria"/>
        </w:rPr>
      </w:pPr>
      <w:r w:rsidRPr="00B62337">
        <w:rPr>
          <w:rFonts w:eastAsia="Cambria"/>
          <w:b/>
        </w:rPr>
        <w:t xml:space="preserve">Indicator: </w:t>
      </w:r>
      <w:r w:rsidR="00F670B9">
        <w:rPr>
          <w:rFonts w:eastAsia="Cambria"/>
          <w:b/>
        </w:rPr>
        <w:t xml:space="preserve"> </w:t>
      </w:r>
      <w:r w:rsidRPr="00B62337">
        <w:rPr>
          <w:rFonts w:eastAsia="Cambria"/>
        </w:rPr>
        <w:t>Monitor the number of applicants who file to practice independently, the venues where they intend to practice, and the population</w:t>
      </w:r>
      <w:r w:rsidR="00F46AFD">
        <w:rPr>
          <w:rFonts w:eastAsia="Cambria"/>
        </w:rPr>
        <w:t>s</w:t>
      </w:r>
      <w:r w:rsidRPr="00B62337">
        <w:rPr>
          <w:rFonts w:eastAsia="Cambria"/>
        </w:rPr>
        <w:t xml:space="preserve"> they serve.</w:t>
      </w:r>
      <w:r w:rsidR="0002086D">
        <w:rPr>
          <w:rFonts w:eastAsia="Cambria"/>
        </w:rPr>
        <w:t xml:space="preserve">  Monitor regulations related to APRNs adopted by the Board of Nursing.</w:t>
      </w:r>
    </w:p>
    <w:p w:rsidR="00AB074D" w:rsidRPr="00B62337" w:rsidRDefault="00AB074D" w:rsidP="00AB074D">
      <w:pPr>
        <w:jc w:val="both"/>
        <w:rPr>
          <w:rFonts w:eastAsia="Cambria"/>
          <w:b/>
        </w:rPr>
      </w:pPr>
    </w:p>
    <w:p w:rsidR="00AB074D" w:rsidRPr="00B62337" w:rsidRDefault="001C6174" w:rsidP="00AB074D">
      <w:pPr>
        <w:jc w:val="both"/>
        <w:rPr>
          <w:rFonts w:eastAsia="Cambria"/>
        </w:rPr>
      </w:pPr>
      <w:r w:rsidRPr="00B62337">
        <w:rPr>
          <w:rFonts w:eastAsia="Cambria"/>
          <w:b/>
        </w:rPr>
        <w:t>Potential Funding:</w:t>
      </w:r>
      <w:r w:rsidR="00AB074D" w:rsidRPr="00B62337">
        <w:rPr>
          <w:rFonts w:eastAsia="Cambria"/>
          <w:b/>
        </w:rPr>
        <w:t xml:space="preserve"> </w:t>
      </w:r>
      <w:r w:rsidR="00F670B9">
        <w:rPr>
          <w:rFonts w:eastAsia="Cambria"/>
          <w:b/>
        </w:rPr>
        <w:t xml:space="preserve"> </w:t>
      </w:r>
      <w:r w:rsidR="00AB074D" w:rsidRPr="00B62337">
        <w:rPr>
          <w:rFonts w:eastAsia="Cambria"/>
        </w:rPr>
        <w:t xml:space="preserve">Health </w:t>
      </w:r>
      <w:r w:rsidR="00F670B9">
        <w:rPr>
          <w:rFonts w:eastAsia="Cambria"/>
        </w:rPr>
        <w:t>c</w:t>
      </w:r>
      <w:r w:rsidR="00AB074D" w:rsidRPr="00B62337">
        <w:rPr>
          <w:rFonts w:eastAsia="Cambria"/>
        </w:rPr>
        <w:t>are insurance</w:t>
      </w:r>
      <w:r w:rsidR="00C81F57">
        <w:rPr>
          <w:rFonts w:eastAsia="Cambria"/>
        </w:rPr>
        <w:t>;</w:t>
      </w:r>
      <w:r w:rsidR="00AB074D" w:rsidRPr="00B62337">
        <w:rPr>
          <w:rFonts w:eastAsia="Cambria"/>
        </w:rPr>
        <w:t xml:space="preserve"> Medicaid</w:t>
      </w:r>
      <w:r w:rsidR="00C81F57">
        <w:rPr>
          <w:rFonts w:eastAsia="Cambria"/>
        </w:rPr>
        <w:t>;</w:t>
      </w:r>
      <w:r w:rsidR="00AB074D" w:rsidRPr="00B62337">
        <w:rPr>
          <w:rFonts w:eastAsia="Cambria"/>
        </w:rPr>
        <w:t xml:space="preserve"> Medicare</w:t>
      </w:r>
      <w:r w:rsidR="00C81F57">
        <w:rPr>
          <w:rFonts w:eastAsia="Cambria"/>
        </w:rPr>
        <w:t>;</w:t>
      </w:r>
      <w:r w:rsidR="00AB074D" w:rsidRPr="00B62337">
        <w:rPr>
          <w:rFonts w:eastAsia="Cambria"/>
        </w:rPr>
        <w:t xml:space="preserve"> </w:t>
      </w:r>
      <w:r w:rsidR="00F670B9">
        <w:rPr>
          <w:rFonts w:eastAsia="Cambria"/>
        </w:rPr>
        <w:t>f</w:t>
      </w:r>
      <w:r w:rsidR="00AB074D" w:rsidRPr="00B62337">
        <w:rPr>
          <w:rFonts w:eastAsia="Cambria"/>
        </w:rPr>
        <w:t xml:space="preserve">ederally </w:t>
      </w:r>
      <w:r w:rsidR="00F670B9">
        <w:rPr>
          <w:rFonts w:eastAsia="Cambria"/>
        </w:rPr>
        <w:t>q</w:t>
      </w:r>
      <w:r w:rsidR="00AB074D" w:rsidRPr="00B62337">
        <w:rPr>
          <w:rFonts w:eastAsia="Cambria"/>
        </w:rPr>
        <w:t xml:space="preserve">ualified </w:t>
      </w:r>
      <w:r w:rsidR="00F670B9">
        <w:rPr>
          <w:rFonts w:eastAsia="Cambria"/>
        </w:rPr>
        <w:t>h</w:t>
      </w:r>
      <w:r w:rsidR="00AB074D" w:rsidRPr="00B62337">
        <w:rPr>
          <w:rFonts w:eastAsia="Cambria"/>
        </w:rPr>
        <w:t>ealth</w:t>
      </w:r>
      <w:r w:rsidR="00225E3C">
        <w:rPr>
          <w:rFonts w:eastAsia="Cambria"/>
        </w:rPr>
        <w:t> c</w:t>
      </w:r>
      <w:r w:rsidR="00AB074D" w:rsidRPr="00B62337">
        <w:rPr>
          <w:rFonts w:eastAsia="Cambria"/>
        </w:rPr>
        <w:t xml:space="preserve">enters. </w:t>
      </w:r>
    </w:p>
    <w:p w:rsidR="00AB074D" w:rsidRPr="00B62337" w:rsidRDefault="00AB074D" w:rsidP="00AB074D">
      <w:pPr>
        <w:jc w:val="both"/>
        <w:rPr>
          <w:rFonts w:eastAsia="Cambria"/>
        </w:rPr>
      </w:pPr>
    </w:p>
    <w:p w:rsidR="00376A54" w:rsidRDefault="00376A54" w:rsidP="00AB074D">
      <w:pPr>
        <w:jc w:val="both"/>
        <w:rPr>
          <w:rFonts w:eastAsia="Cambria"/>
          <w:u w:val="single"/>
        </w:rPr>
      </w:pPr>
      <w:r>
        <w:rPr>
          <w:rFonts w:eastAsia="Cambria"/>
          <w:u w:val="single"/>
        </w:rPr>
        <w:t>Telehealth</w:t>
      </w:r>
    </w:p>
    <w:p w:rsidR="00376A54" w:rsidRDefault="00376A54" w:rsidP="00AB074D">
      <w:pPr>
        <w:jc w:val="both"/>
        <w:rPr>
          <w:rFonts w:eastAsia="Cambria"/>
          <w:u w:val="single"/>
        </w:rPr>
      </w:pPr>
    </w:p>
    <w:p w:rsidR="00AB074D" w:rsidRDefault="00AB074D" w:rsidP="00AB074D">
      <w:pPr>
        <w:jc w:val="both"/>
        <w:rPr>
          <w:rFonts w:eastAsia="Cambria"/>
        </w:rPr>
      </w:pPr>
      <w:r w:rsidRPr="00B62337">
        <w:rPr>
          <w:rFonts w:eastAsia="Cambria"/>
        </w:rPr>
        <w:t xml:space="preserve">As hospitals throughout the </w:t>
      </w:r>
      <w:r w:rsidR="00225E3C">
        <w:rPr>
          <w:rFonts w:eastAsia="Cambria"/>
        </w:rPr>
        <w:t>S</w:t>
      </w:r>
      <w:r w:rsidRPr="00B62337">
        <w:rPr>
          <w:rFonts w:eastAsia="Cambria"/>
        </w:rPr>
        <w:t xml:space="preserve">tate extend the use of telemedicine, diagnosis and treatment will be delivered in a more timely and progressive manner.  This will enable patients and families, physicians, and other medical personnel to act and interact to receive the best medical care.  Nevada’s Early Stage Dementia Project, Telehealth Early Phase Patient and Family Support Program (TESP) was funded primarily by </w:t>
      </w:r>
      <w:r w:rsidR="00225E3C">
        <w:rPr>
          <w:rFonts w:eastAsia="Cambria"/>
        </w:rPr>
        <w:t xml:space="preserve">the </w:t>
      </w:r>
      <w:r w:rsidR="00225E3C" w:rsidRPr="00B62337">
        <w:rPr>
          <w:rFonts w:eastAsia="Cambria"/>
        </w:rPr>
        <w:t>Administration on Aging</w:t>
      </w:r>
      <w:r w:rsidR="00225E3C">
        <w:rPr>
          <w:rFonts w:eastAsia="Cambria"/>
        </w:rPr>
        <w:t>,</w:t>
      </w:r>
      <w:r w:rsidRPr="00B62337">
        <w:rPr>
          <w:rFonts w:eastAsia="Cambria"/>
        </w:rPr>
        <w:t xml:space="preserve"> </w:t>
      </w:r>
      <w:r w:rsidR="00D44363">
        <w:rPr>
          <w:rFonts w:eastAsia="Cambria"/>
        </w:rPr>
        <w:t>U.S.</w:t>
      </w:r>
      <w:r w:rsidR="00FB2747">
        <w:rPr>
          <w:rFonts w:eastAsia="Cambria"/>
        </w:rPr>
        <w:t xml:space="preserve"> Department of </w:t>
      </w:r>
      <w:r w:rsidRPr="00B62337">
        <w:rPr>
          <w:rFonts w:eastAsia="Cambria"/>
        </w:rPr>
        <w:t xml:space="preserve">Health and Human Services, with support from the </w:t>
      </w:r>
      <w:r w:rsidR="00AC7EE2">
        <w:rPr>
          <w:rFonts w:eastAsia="Cambria"/>
        </w:rPr>
        <w:t>Aging and Disability Services Division of Nevada’s Department of Health and Human Services</w:t>
      </w:r>
      <w:r w:rsidR="00225E3C" w:rsidRPr="00B62337">
        <w:rPr>
          <w:rFonts w:eastAsia="Cambria"/>
        </w:rPr>
        <w:t xml:space="preserve">, </w:t>
      </w:r>
      <w:r w:rsidRPr="00B62337">
        <w:rPr>
          <w:rFonts w:eastAsia="Cambria"/>
        </w:rPr>
        <w:t xml:space="preserve">which implemented </w:t>
      </w:r>
      <w:r w:rsidR="00485385">
        <w:rPr>
          <w:rFonts w:eastAsia="Cambria"/>
        </w:rPr>
        <w:t>T</w:t>
      </w:r>
      <w:r w:rsidRPr="00B62337">
        <w:rPr>
          <w:rFonts w:eastAsia="Cambria"/>
        </w:rPr>
        <w:t xml:space="preserve">elehealth and support for caregivers and individuals in the early stages of Alzheimer’s </w:t>
      </w:r>
      <w:r w:rsidR="005F362F">
        <w:rPr>
          <w:rFonts w:eastAsia="Cambria"/>
        </w:rPr>
        <w:t>d</w:t>
      </w:r>
      <w:r w:rsidRPr="00B62337">
        <w:rPr>
          <w:rFonts w:eastAsia="Cambria"/>
        </w:rPr>
        <w:t>isease in rural Nevada</w:t>
      </w:r>
      <w:r w:rsidR="00B622ED" w:rsidRPr="00B62337">
        <w:rPr>
          <w:rFonts w:eastAsia="Cambria"/>
        </w:rPr>
        <w:t>.</w:t>
      </w:r>
      <w:r w:rsidRPr="00B62337">
        <w:rPr>
          <w:rFonts w:eastAsia="Cambria"/>
        </w:rPr>
        <w:t xml:space="preserve"> </w:t>
      </w:r>
      <w:r w:rsidR="00B622ED" w:rsidRPr="00B62337">
        <w:rPr>
          <w:rFonts w:eastAsia="Cambria"/>
        </w:rPr>
        <w:t xml:space="preserve"> The project also </w:t>
      </w:r>
      <w:r w:rsidRPr="00B62337">
        <w:rPr>
          <w:rFonts w:eastAsia="Cambria"/>
        </w:rPr>
        <w:t>provided the groundwork for providing rural residents access to specialized help for Alzheimer’s</w:t>
      </w:r>
      <w:r w:rsidR="004C7121">
        <w:rPr>
          <w:rFonts w:eastAsia="Cambria"/>
        </w:rPr>
        <w:t xml:space="preserve"> </w:t>
      </w:r>
      <w:r w:rsidR="005F362F">
        <w:rPr>
          <w:rFonts w:eastAsia="Cambria"/>
        </w:rPr>
        <w:t>d</w:t>
      </w:r>
      <w:r w:rsidR="004C7121">
        <w:rPr>
          <w:rFonts w:eastAsia="Cambria"/>
        </w:rPr>
        <w:t>isease</w:t>
      </w:r>
      <w:r w:rsidRPr="00B62337">
        <w:rPr>
          <w:rFonts w:eastAsia="Cambria"/>
        </w:rPr>
        <w:t xml:space="preserve"> and other dementia patients and their caregivers and families.  The</w:t>
      </w:r>
      <w:r w:rsidR="004C7121">
        <w:rPr>
          <w:rFonts w:eastAsia="Cambria"/>
        </w:rPr>
        <w:t> </w:t>
      </w:r>
      <w:r w:rsidRPr="00B62337">
        <w:rPr>
          <w:rFonts w:eastAsia="Cambria"/>
        </w:rPr>
        <w:t xml:space="preserve">project was funded </w:t>
      </w:r>
      <w:r w:rsidR="00614945">
        <w:rPr>
          <w:rFonts w:eastAsia="Cambria"/>
        </w:rPr>
        <w:t>for the period of September 30, </w:t>
      </w:r>
      <w:r w:rsidRPr="00B62337">
        <w:rPr>
          <w:rFonts w:eastAsia="Cambria"/>
        </w:rPr>
        <w:t>2008</w:t>
      </w:r>
      <w:r w:rsidR="004C7121">
        <w:rPr>
          <w:rFonts w:eastAsia="Cambria"/>
        </w:rPr>
        <w:t>,</w:t>
      </w:r>
      <w:r w:rsidRPr="00B62337">
        <w:rPr>
          <w:rFonts w:eastAsia="Cambria"/>
        </w:rPr>
        <w:t xml:space="preserve"> through March 31, 2010.  In</w:t>
      </w:r>
      <w:r w:rsidR="004C7121">
        <w:rPr>
          <w:rFonts w:eastAsia="Cambria"/>
        </w:rPr>
        <w:t> </w:t>
      </w:r>
      <w:r w:rsidRPr="00B62337">
        <w:rPr>
          <w:rFonts w:eastAsia="Cambria"/>
        </w:rPr>
        <w:t xml:space="preserve">addition, the Nevada Hospital Association has received a $19.6 million grant from the </w:t>
      </w:r>
      <w:r w:rsidRPr="00B62337">
        <w:rPr>
          <w:rFonts w:eastAsia="Cambria"/>
        </w:rPr>
        <w:lastRenderedPageBreak/>
        <w:t xml:space="preserve">National </w:t>
      </w:r>
      <w:r w:rsidR="004C7121">
        <w:rPr>
          <w:rFonts w:eastAsia="Cambria"/>
        </w:rPr>
        <w:t>Telec</w:t>
      </w:r>
      <w:r w:rsidRPr="00B62337">
        <w:rPr>
          <w:rFonts w:eastAsia="Cambria"/>
        </w:rPr>
        <w:t>ommunications and Information Administration</w:t>
      </w:r>
      <w:r w:rsidR="004C7121">
        <w:rPr>
          <w:rFonts w:eastAsia="Cambria"/>
        </w:rPr>
        <w:t xml:space="preserve">, </w:t>
      </w:r>
      <w:r w:rsidR="004C7121" w:rsidRPr="00B62337">
        <w:rPr>
          <w:rFonts w:eastAsia="Cambria"/>
        </w:rPr>
        <w:t>U</w:t>
      </w:r>
      <w:r w:rsidR="004C7121">
        <w:rPr>
          <w:rFonts w:eastAsia="Cambria"/>
        </w:rPr>
        <w:t>.S.</w:t>
      </w:r>
      <w:r w:rsidR="004C7121" w:rsidRPr="00B62337">
        <w:rPr>
          <w:rFonts w:eastAsia="Cambria"/>
        </w:rPr>
        <w:t xml:space="preserve"> Department of</w:t>
      </w:r>
      <w:r w:rsidR="00301655">
        <w:rPr>
          <w:rFonts w:eastAsia="Cambria"/>
        </w:rPr>
        <w:t> </w:t>
      </w:r>
      <w:r w:rsidR="004C7121" w:rsidRPr="00B62337">
        <w:rPr>
          <w:rFonts w:eastAsia="Cambria"/>
        </w:rPr>
        <w:t xml:space="preserve">Commerce, </w:t>
      </w:r>
      <w:r w:rsidRPr="00B62337">
        <w:rPr>
          <w:rFonts w:eastAsia="Cambria"/>
        </w:rPr>
        <w:t>to construct and operate a statewide broadband network for the purpose of improving patient care by eliminating technology disparities between rural and urban areas. The project</w:t>
      </w:r>
      <w:r w:rsidR="00191933">
        <w:rPr>
          <w:rFonts w:eastAsia="Cambria"/>
        </w:rPr>
        <w:t>,</w:t>
      </w:r>
      <w:r w:rsidRPr="00B62337">
        <w:rPr>
          <w:rFonts w:eastAsia="Cambria"/>
        </w:rPr>
        <w:t xml:space="preserve"> entitled Nevada Broadband Telemedicine Initiative (NBTI)</w:t>
      </w:r>
      <w:r w:rsidR="00191933">
        <w:rPr>
          <w:rFonts w:eastAsia="Cambria"/>
        </w:rPr>
        <w:t>,</w:t>
      </w:r>
      <w:r w:rsidR="00FB2747">
        <w:rPr>
          <w:rFonts w:eastAsia="Cambria"/>
        </w:rPr>
        <w:t xml:space="preserve"> will create a </w:t>
      </w:r>
      <w:r w:rsidRPr="00B62337">
        <w:rPr>
          <w:rFonts w:eastAsia="Cambria"/>
        </w:rPr>
        <w:t>telemedicine system and health information exchange primarily focused on unserved or underserved Nevada communities and is expected to be completed within three years.</w:t>
      </w:r>
    </w:p>
    <w:p w:rsidR="007B511A" w:rsidRDefault="007B511A" w:rsidP="00AB074D">
      <w:pPr>
        <w:jc w:val="both"/>
        <w:rPr>
          <w:rFonts w:eastAsia="Cambria"/>
        </w:rPr>
      </w:pPr>
    </w:p>
    <w:p w:rsidR="00755A64" w:rsidRPr="00AB1E1B" w:rsidRDefault="00AB074D" w:rsidP="00A047C6">
      <w:pPr>
        <w:jc w:val="both"/>
      </w:pPr>
      <w:r w:rsidRPr="00755A64">
        <w:rPr>
          <w:rFonts w:eastAsia="Cambria"/>
          <w:b/>
        </w:rPr>
        <w:t>Recommendation</w:t>
      </w:r>
      <w:r w:rsidR="006964E4">
        <w:rPr>
          <w:rFonts w:eastAsia="Cambria"/>
          <w:b/>
        </w:rPr>
        <w:t xml:space="preserve"> 3</w:t>
      </w:r>
      <w:r w:rsidRPr="00755A64">
        <w:rPr>
          <w:rFonts w:eastAsia="Cambria"/>
          <w:b/>
        </w:rPr>
        <w:t xml:space="preserve">: </w:t>
      </w:r>
      <w:r w:rsidR="00301655" w:rsidRPr="00755A64">
        <w:rPr>
          <w:rFonts w:eastAsia="Cambria"/>
          <w:b/>
        </w:rPr>
        <w:t xml:space="preserve"> </w:t>
      </w:r>
      <w:r w:rsidR="00376A54">
        <w:rPr>
          <w:rFonts w:eastAsia="Cambria"/>
        </w:rPr>
        <w:t xml:space="preserve">Evaluate and support legislation that improves access to quality Telehealth Services.  </w:t>
      </w:r>
      <w:r w:rsidR="00755A64" w:rsidRPr="00755A64">
        <w:rPr>
          <w:rFonts w:eastAsia="Calibri"/>
        </w:rPr>
        <w:t xml:space="preserve">Examine and identify funding streams to develop and facilitate the full spectrum of </w:t>
      </w:r>
      <w:r w:rsidR="009B5D39">
        <w:rPr>
          <w:rFonts w:eastAsia="Calibri"/>
        </w:rPr>
        <w:t>T</w:t>
      </w:r>
      <w:r w:rsidR="00755A64" w:rsidRPr="00755A64">
        <w:rPr>
          <w:rFonts w:eastAsia="Calibri"/>
        </w:rPr>
        <w:t xml:space="preserve">elehealth services to rural communities, including </w:t>
      </w:r>
      <w:r w:rsidR="00B923FC">
        <w:rPr>
          <w:rFonts w:eastAsia="Calibri"/>
        </w:rPr>
        <w:t>training for providers in rural </w:t>
      </w:r>
      <w:r w:rsidR="00755A64" w:rsidRPr="00755A64">
        <w:rPr>
          <w:rFonts w:eastAsia="Calibri"/>
        </w:rPr>
        <w:t>areas.</w:t>
      </w:r>
      <w:r w:rsidR="00755A64" w:rsidRPr="00755A64">
        <w:rPr>
          <w:rFonts w:eastAsia="Cambria"/>
          <w:spacing w:val="-4"/>
        </w:rPr>
        <w:t xml:space="preserve"> </w:t>
      </w:r>
    </w:p>
    <w:p w:rsidR="00755A64" w:rsidRPr="00B62337" w:rsidDel="00755A64" w:rsidRDefault="00755A64" w:rsidP="00A047C6">
      <w:pPr>
        <w:jc w:val="both"/>
        <w:rPr>
          <w:rFonts w:eastAsia="Calibri"/>
        </w:rPr>
      </w:pPr>
    </w:p>
    <w:p w:rsidR="00755A64" w:rsidRPr="00B62337" w:rsidDel="00755A64" w:rsidRDefault="00AB074D" w:rsidP="00755A64">
      <w:pPr>
        <w:jc w:val="both"/>
        <w:rPr>
          <w:rFonts w:eastAsia="Cambria"/>
          <w:b/>
        </w:rPr>
      </w:pPr>
      <w:r w:rsidRPr="00B62337">
        <w:rPr>
          <w:rFonts w:eastAsia="Cambria"/>
          <w:b/>
        </w:rPr>
        <w:t xml:space="preserve">Indicator: </w:t>
      </w:r>
      <w:r w:rsidR="00301655">
        <w:rPr>
          <w:rFonts w:eastAsia="Cambria"/>
          <w:b/>
        </w:rPr>
        <w:t xml:space="preserve"> </w:t>
      </w:r>
      <w:r w:rsidR="007C42BB" w:rsidRPr="00200AD7">
        <w:rPr>
          <w:rFonts w:eastAsia="Cambria"/>
        </w:rPr>
        <w:t>Identify and evaluate what T</w:t>
      </w:r>
      <w:r w:rsidR="00123959" w:rsidRPr="00200AD7">
        <w:rPr>
          <w:rFonts w:eastAsia="Cambria"/>
        </w:rPr>
        <w:t>elehealth projects are availabl</w:t>
      </w:r>
      <w:r w:rsidR="007C42BB" w:rsidRPr="00200AD7">
        <w:rPr>
          <w:rFonts w:eastAsia="Cambria"/>
        </w:rPr>
        <w:t>e and accessib</w:t>
      </w:r>
      <w:r w:rsidR="00C70A02" w:rsidRPr="00200AD7">
        <w:rPr>
          <w:rFonts w:eastAsia="Cambria"/>
        </w:rPr>
        <w:t>le.</w:t>
      </w:r>
      <w:r w:rsidR="007C42BB">
        <w:rPr>
          <w:rFonts w:eastAsia="Cambria"/>
          <w:b/>
        </w:rPr>
        <w:t xml:space="preserve">  </w:t>
      </w:r>
      <w:r w:rsidRPr="00B62337">
        <w:rPr>
          <w:rFonts w:eastAsia="Cambria"/>
        </w:rPr>
        <w:t>Review evaluation of projects</w:t>
      </w:r>
      <w:r w:rsidR="00191933">
        <w:rPr>
          <w:rFonts w:eastAsia="Cambria"/>
        </w:rPr>
        <w:t>, such as</w:t>
      </w:r>
      <w:r w:rsidRPr="00B62337">
        <w:rPr>
          <w:rFonts w:eastAsia="Cambria"/>
        </w:rPr>
        <w:t xml:space="preserve"> Nevada’s Early Stage Dementia Project, </w:t>
      </w:r>
      <w:r w:rsidR="00301655">
        <w:rPr>
          <w:rFonts w:eastAsia="Cambria"/>
        </w:rPr>
        <w:t>TESP</w:t>
      </w:r>
      <w:r w:rsidR="0024654A">
        <w:rPr>
          <w:rFonts w:eastAsia="Cambria"/>
        </w:rPr>
        <w:t>,</w:t>
      </w:r>
      <w:r w:rsidRPr="00B62337">
        <w:rPr>
          <w:rFonts w:eastAsia="Cambria"/>
        </w:rPr>
        <w:t xml:space="preserve"> to assess what was done and duplicate the measurements of the su</w:t>
      </w:r>
      <w:r w:rsidR="00FB2747">
        <w:rPr>
          <w:rFonts w:eastAsia="Cambria"/>
        </w:rPr>
        <w:t xml:space="preserve">ccess of the projects. </w:t>
      </w:r>
      <w:r w:rsidR="009D6BC0">
        <w:rPr>
          <w:rFonts w:eastAsia="Cambria"/>
        </w:rPr>
        <w:t>Follow </w:t>
      </w:r>
      <w:r w:rsidRPr="00B62337">
        <w:rPr>
          <w:rFonts w:eastAsia="Cambria"/>
        </w:rPr>
        <w:t xml:space="preserve">the process of development of the NBTI using the NHA goals and evaluations. </w:t>
      </w:r>
    </w:p>
    <w:p w:rsidR="00AB074D" w:rsidRPr="00B62337" w:rsidRDefault="00AB074D" w:rsidP="00755A64">
      <w:pPr>
        <w:jc w:val="both"/>
        <w:rPr>
          <w:rFonts w:eastAsia="Cambria"/>
          <w:b/>
        </w:rPr>
      </w:pPr>
    </w:p>
    <w:p w:rsidR="00AB074D" w:rsidRPr="00B62337" w:rsidRDefault="001C6174" w:rsidP="00755A64">
      <w:pPr>
        <w:jc w:val="both"/>
        <w:rPr>
          <w:rFonts w:eastAsia="Cambria"/>
        </w:rPr>
      </w:pPr>
      <w:r w:rsidRPr="00B62337">
        <w:rPr>
          <w:rFonts w:eastAsia="Cambria"/>
          <w:b/>
        </w:rPr>
        <w:t>Potential Funding:</w:t>
      </w:r>
      <w:r w:rsidR="00AB074D" w:rsidRPr="00B62337">
        <w:rPr>
          <w:rFonts w:eastAsia="Cambria"/>
          <w:b/>
        </w:rPr>
        <w:t xml:space="preserve"> </w:t>
      </w:r>
      <w:r w:rsidR="00301655">
        <w:rPr>
          <w:rFonts w:eastAsia="Cambria"/>
          <w:b/>
        </w:rPr>
        <w:t xml:space="preserve"> </w:t>
      </w:r>
      <w:r w:rsidR="00AB074D" w:rsidRPr="00B62337">
        <w:rPr>
          <w:rFonts w:eastAsia="Cambria"/>
        </w:rPr>
        <w:t>Alzheimer</w:t>
      </w:r>
      <w:r w:rsidR="00301655">
        <w:rPr>
          <w:rFonts w:eastAsia="Cambria"/>
        </w:rPr>
        <w:t>’</w:t>
      </w:r>
      <w:r w:rsidR="00AB074D" w:rsidRPr="00B62337">
        <w:rPr>
          <w:rFonts w:eastAsia="Cambria"/>
        </w:rPr>
        <w:t>s Disease Demonstration Grants to States</w:t>
      </w:r>
      <w:r w:rsidR="00191933">
        <w:rPr>
          <w:rFonts w:eastAsia="Cambria"/>
        </w:rPr>
        <w:t>;</w:t>
      </w:r>
      <w:r w:rsidR="00AB074D" w:rsidRPr="00B62337">
        <w:rPr>
          <w:rFonts w:eastAsia="Cambria"/>
        </w:rPr>
        <w:t xml:space="preserve"> other federal grants that can be identified</w:t>
      </w:r>
      <w:r w:rsidR="00191933">
        <w:rPr>
          <w:rFonts w:eastAsia="Cambria"/>
        </w:rPr>
        <w:t>;</w:t>
      </w:r>
      <w:r w:rsidR="00E755C8">
        <w:rPr>
          <w:rFonts w:eastAsia="Cambria"/>
        </w:rPr>
        <w:t xml:space="preserve"> the State of Nevada</w:t>
      </w:r>
      <w:r w:rsidR="00191933">
        <w:rPr>
          <w:rFonts w:eastAsia="Cambria"/>
        </w:rPr>
        <w:t>; other (yet to be identified)</w:t>
      </w:r>
      <w:r w:rsidR="00AB074D" w:rsidRPr="00B62337">
        <w:rPr>
          <w:rFonts w:eastAsia="Cambria"/>
        </w:rPr>
        <w:t>.</w:t>
      </w:r>
    </w:p>
    <w:p w:rsidR="00AB074D" w:rsidRPr="00B62337" w:rsidRDefault="00AB074D" w:rsidP="00AB074D">
      <w:pPr>
        <w:jc w:val="both"/>
        <w:rPr>
          <w:rFonts w:eastAsia="Cambria"/>
        </w:rPr>
      </w:pPr>
    </w:p>
    <w:p w:rsidR="00AB074D" w:rsidRPr="00B62337" w:rsidRDefault="00AB074D" w:rsidP="000F680A">
      <w:pPr>
        <w:keepNext/>
        <w:jc w:val="both"/>
        <w:rPr>
          <w:rFonts w:eastAsia="Cambria"/>
          <w:u w:val="single"/>
        </w:rPr>
      </w:pPr>
      <w:r w:rsidRPr="00B62337">
        <w:rPr>
          <w:rFonts w:eastAsia="Cambria"/>
          <w:u w:val="single"/>
        </w:rPr>
        <w:t>Early-Stage</w:t>
      </w:r>
    </w:p>
    <w:p w:rsidR="00AB074D" w:rsidRPr="00B62337" w:rsidRDefault="00AB074D" w:rsidP="000F680A">
      <w:pPr>
        <w:keepNext/>
        <w:jc w:val="both"/>
        <w:rPr>
          <w:rFonts w:eastAsia="Cambria"/>
          <w:u w:val="single"/>
        </w:rPr>
      </w:pPr>
    </w:p>
    <w:p w:rsidR="00AB074D" w:rsidRPr="00B62337" w:rsidRDefault="00AB074D" w:rsidP="000F680A">
      <w:pPr>
        <w:keepNext/>
        <w:jc w:val="both"/>
        <w:rPr>
          <w:rFonts w:eastAsia="Cambria"/>
        </w:rPr>
      </w:pPr>
      <w:r w:rsidRPr="00B62337">
        <w:rPr>
          <w:rFonts w:eastAsia="Cambria"/>
        </w:rPr>
        <w:t xml:space="preserve">Those who have been diagnosed with dementia early in the disease process are likely to benefit from interaction with others who are in the same situation.  Programs designed specifically for early-stage </w:t>
      </w:r>
      <w:r w:rsidR="001F0BD4">
        <w:rPr>
          <w:rFonts w:eastAsia="Cambria"/>
        </w:rPr>
        <w:t>individuals</w:t>
      </w:r>
      <w:r w:rsidR="001F0BD4" w:rsidRPr="00B62337">
        <w:rPr>
          <w:rFonts w:eastAsia="Cambria"/>
        </w:rPr>
        <w:t xml:space="preserve"> </w:t>
      </w:r>
      <w:r w:rsidRPr="00B62337">
        <w:rPr>
          <w:rFonts w:eastAsia="Cambria"/>
        </w:rPr>
        <w:t xml:space="preserve">help promote education, understanding, healthy coping strategies, and ways to maximize remaining abilities.  These groups can prevent depression and anxiety, </w:t>
      </w:r>
      <w:r w:rsidR="00F46AFD">
        <w:rPr>
          <w:rFonts w:eastAsia="Cambria"/>
        </w:rPr>
        <w:t xml:space="preserve">as well as help </w:t>
      </w:r>
      <w:r w:rsidRPr="00B62337">
        <w:rPr>
          <w:rFonts w:eastAsia="Cambria"/>
        </w:rPr>
        <w:t>those affected</w:t>
      </w:r>
      <w:r w:rsidR="00191933">
        <w:rPr>
          <w:rFonts w:eastAsia="Cambria"/>
        </w:rPr>
        <w:t>,</w:t>
      </w:r>
      <w:r w:rsidRPr="00B62337">
        <w:rPr>
          <w:rFonts w:eastAsia="Cambria"/>
        </w:rPr>
        <w:t xml:space="preserve"> to </w:t>
      </w:r>
      <w:r w:rsidR="00F46AFD">
        <w:rPr>
          <w:rFonts w:eastAsia="Cambria"/>
        </w:rPr>
        <w:t>continue leading</w:t>
      </w:r>
      <w:r w:rsidRPr="00B62337">
        <w:rPr>
          <w:rFonts w:eastAsia="Cambria"/>
        </w:rPr>
        <w:t xml:space="preserve"> healthy, active lives</w:t>
      </w:r>
      <w:r w:rsidR="00D36733">
        <w:rPr>
          <w:rFonts w:eastAsia="Cambria"/>
        </w:rPr>
        <w:t>.</w:t>
      </w:r>
      <w:r w:rsidR="00D36733">
        <w:rPr>
          <w:rStyle w:val="EndnoteReference"/>
          <w:rFonts w:eastAsia="Cambria"/>
        </w:rPr>
        <w:endnoteReference w:id="14"/>
      </w:r>
      <w:r w:rsidR="000C6087">
        <w:rPr>
          <w:rFonts w:eastAsia="Cambria"/>
        </w:rPr>
        <w:t xml:space="preserve"> </w:t>
      </w:r>
    </w:p>
    <w:p w:rsidR="00AB074D" w:rsidRPr="00B62337" w:rsidRDefault="00AB074D" w:rsidP="00AB074D">
      <w:pPr>
        <w:jc w:val="both"/>
        <w:rPr>
          <w:rFonts w:eastAsia="Cambria"/>
        </w:rPr>
      </w:pPr>
    </w:p>
    <w:p w:rsidR="00AB074D" w:rsidRPr="00B62337" w:rsidRDefault="00AB074D" w:rsidP="00AB074D">
      <w:pPr>
        <w:jc w:val="both"/>
        <w:rPr>
          <w:rFonts w:eastAsia="Cambria"/>
          <w:u w:val="single"/>
        </w:rPr>
      </w:pPr>
      <w:r w:rsidRPr="00B62337">
        <w:rPr>
          <w:rFonts w:eastAsia="Cambria"/>
          <w:u w:val="single"/>
        </w:rPr>
        <w:t>Younger/Early-Onset</w:t>
      </w:r>
    </w:p>
    <w:p w:rsidR="00AB074D" w:rsidRPr="00B62337" w:rsidRDefault="00AB074D" w:rsidP="00AB074D">
      <w:pPr>
        <w:jc w:val="both"/>
        <w:rPr>
          <w:rFonts w:eastAsia="Cambria"/>
          <w:u w:val="single"/>
        </w:rPr>
      </w:pPr>
    </w:p>
    <w:p w:rsidR="0094574B" w:rsidRPr="002224AF" w:rsidRDefault="00AB074D" w:rsidP="0094574B">
      <w:pPr>
        <w:jc w:val="both"/>
        <w:rPr>
          <w:color w:val="000000" w:themeColor="text1"/>
        </w:rPr>
      </w:pPr>
      <w:r w:rsidRPr="00B62337">
        <w:rPr>
          <w:rFonts w:eastAsia="Cambria"/>
        </w:rPr>
        <w:t xml:space="preserve">While Alzheimer’s </w:t>
      </w:r>
      <w:r w:rsidR="002E464D">
        <w:rPr>
          <w:rFonts w:eastAsia="Cambria"/>
        </w:rPr>
        <w:t>d</w:t>
      </w:r>
      <w:r w:rsidRPr="00B62337">
        <w:rPr>
          <w:rFonts w:eastAsia="Cambria"/>
        </w:rPr>
        <w:t xml:space="preserve">isease and </w:t>
      </w:r>
      <w:r w:rsidR="001161E2">
        <w:rPr>
          <w:rFonts w:eastAsia="Cambria"/>
        </w:rPr>
        <w:t>related disorders</w:t>
      </w:r>
      <w:r w:rsidR="002E464D">
        <w:rPr>
          <w:rFonts w:eastAsia="Cambria"/>
        </w:rPr>
        <w:t xml:space="preserve"> </w:t>
      </w:r>
      <w:r w:rsidRPr="00B62337">
        <w:rPr>
          <w:rFonts w:eastAsia="Cambria"/>
        </w:rPr>
        <w:t>are often grouped together, the etiologies and symptoms are quite varied</w:t>
      </w:r>
      <w:r w:rsidRPr="007F36A7">
        <w:rPr>
          <w:rFonts w:eastAsia="Cambria"/>
        </w:rPr>
        <w:t xml:space="preserve">.  </w:t>
      </w:r>
      <w:r w:rsidR="0094574B">
        <w:rPr>
          <w:color w:val="000000" w:themeColor="text1"/>
        </w:rPr>
        <w:t xml:space="preserve">Additionally, Alzheimer’s </w:t>
      </w:r>
      <w:r w:rsidR="002E464D">
        <w:rPr>
          <w:color w:val="000000" w:themeColor="text1"/>
        </w:rPr>
        <w:t>d</w:t>
      </w:r>
      <w:r w:rsidR="0094574B">
        <w:rPr>
          <w:color w:val="000000" w:themeColor="text1"/>
        </w:rPr>
        <w:t>isea</w:t>
      </w:r>
      <w:r w:rsidR="00FB2747">
        <w:rPr>
          <w:color w:val="000000" w:themeColor="text1"/>
        </w:rPr>
        <w:t>se is typically thought of as a </w:t>
      </w:r>
      <w:r w:rsidR="0094574B">
        <w:rPr>
          <w:color w:val="000000" w:themeColor="text1"/>
        </w:rPr>
        <w:t xml:space="preserve">disease of the elderly, when in fact, it may affect those who are still young.  The youngest documented case </w:t>
      </w:r>
      <w:r w:rsidR="009E0973">
        <w:rPr>
          <w:color w:val="000000" w:themeColor="text1"/>
        </w:rPr>
        <w:t xml:space="preserve">of </w:t>
      </w:r>
      <w:r w:rsidR="0094574B">
        <w:rPr>
          <w:color w:val="000000" w:themeColor="text1"/>
        </w:rPr>
        <w:t xml:space="preserve">Alzheimer’s </w:t>
      </w:r>
      <w:r w:rsidR="002E464D">
        <w:rPr>
          <w:color w:val="000000" w:themeColor="text1"/>
        </w:rPr>
        <w:t>d</w:t>
      </w:r>
      <w:r w:rsidR="0094574B">
        <w:rPr>
          <w:color w:val="000000" w:themeColor="text1"/>
        </w:rPr>
        <w:t xml:space="preserve">isease was </w:t>
      </w:r>
      <w:r w:rsidR="00705D6C">
        <w:rPr>
          <w:color w:val="000000" w:themeColor="text1"/>
        </w:rPr>
        <w:t xml:space="preserve">a </w:t>
      </w:r>
      <w:r w:rsidR="00D67558">
        <w:rPr>
          <w:color w:val="000000" w:themeColor="text1"/>
        </w:rPr>
        <w:t>26-</w:t>
      </w:r>
      <w:r w:rsidR="00680547">
        <w:rPr>
          <w:color w:val="000000" w:themeColor="text1"/>
        </w:rPr>
        <w:t>year-</w:t>
      </w:r>
      <w:r w:rsidR="0094574B">
        <w:rPr>
          <w:color w:val="000000" w:themeColor="text1"/>
        </w:rPr>
        <w:t>old</w:t>
      </w:r>
      <w:r w:rsidR="00705D6C">
        <w:rPr>
          <w:color w:val="000000" w:themeColor="text1"/>
        </w:rPr>
        <w:t xml:space="preserve"> individual</w:t>
      </w:r>
      <w:r w:rsidR="0094574B">
        <w:rPr>
          <w:color w:val="000000" w:themeColor="text1"/>
        </w:rPr>
        <w:t>, and an increasing number of cases are diagnosed in individuals who are under the age of 65.  Such cases are considered “younger” or “early-onset.”</w:t>
      </w:r>
    </w:p>
    <w:p w:rsidR="00AB074D" w:rsidRPr="00B62337" w:rsidRDefault="00AB074D" w:rsidP="00AB074D">
      <w:pPr>
        <w:jc w:val="both"/>
        <w:rPr>
          <w:rFonts w:eastAsia="Cambria"/>
        </w:rPr>
      </w:pPr>
    </w:p>
    <w:p w:rsidR="00AB074D" w:rsidRDefault="00E833F3" w:rsidP="00AB074D">
      <w:pPr>
        <w:jc w:val="both"/>
        <w:rPr>
          <w:rFonts w:eastAsia="Cambria"/>
        </w:rPr>
      </w:pPr>
      <w:r>
        <w:rPr>
          <w:rFonts w:eastAsia="Cambria"/>
        </w:rPr>
        <w:t>Younger</w:t>
      </w:r>
      <w:r w:rsidR="00AB074D" w:rsidRPr="00B62337">
        <w:rPr>
          <w:rFonts w:eastAsia="Cambria"/>
        </w:rPr>
        <w:t xml:space="preserve">-onset </w:t>
      </w:r>
      <w:r w:rsidR="009E0973">
        <w:rPr>
          <w:rFonts w:eastAsia="Cambria"/>
        </w:rPr>
        <w:t>individuals</w:t>
      </w:r>
      <w:r w:rsidR="00AB074D" w:rsidRPr="00B62337">
        <w:rPr>
          <w:rFonts w:eastAsia="Cambria"/>
        </w:rPr>
        <w:t xml:space="preserve"> face numerous challenges in the workplace, in medical treatment, and in the availability of the best medical services.  Many are denied the care and medications they need</w:t>
      </w:r>
      <w:r w:rsidR="00F46AFD">
        <w:rPr>
          <w:rFonts w:eastAsia="Cambria"/>
        </w:rPr>
        <w:t>,</w:t>
      </w:r>
      <w:r w:rsidR="00AB074D" w:rsidRPr="00B62337">
        <w:rPr>
          <w:rFonts w:eastAsia="Cambria"/>
        </w:rPr>
        <w:t xml:space="preserve"> based on their age</w:t>
      </w:r>
      <w:r w:rsidR="00F46AFD">
        <w:rPr>
          <w:rFonts w:eastAsia="Cambria"/>
        </w:rPr>
        <w:t>,</w:t>
      </w:r>
      <w:r w:rsidR="00AB074D" w:rsidRPr="00B62337">
        <w:rPr>
          <w:rFonts w:eastAsia="Cambria"/>
        </w:rPr>
        <w:t xml:space="preserve"> because of different funding sources</w:t>
      </w:r>
      <w:r w:rsidR="00050AE7">
        <w:rPr>
          <w:rFonts w:eastAsia="Cambria"/>
        </w:rPr>
        <w:t>’ age requirements</w:t>
      </w:r>
      <w:r w:rsidR="00AB074D" w:rsidRPr="00B62337">
        <w:rPr>
          <w:rFonts w:eastAsia="Cambria"/>
        </w:rPr>
        <w:t xml:space="preserve">.  </w:t>
      </w:r>
      <w:r w:rsidR="00966BCD">
        <w:rPr>
          <w:rFonts w:eastAsia="Cambria"/>
        </w:rPr>
        <w:t>In </w:t>
      </w:r>
      <w:r w:rsidR="00050AE7">
        <w:rPr>
          <w:rFonts w:eastAsia="Cambria"/>
        </w:rPr>
        <w:t xml:space="preserve">Nevada, a person under the age of 65 with dementia can qualify for Medicare, but must qualify for </w:t>
      </w:r>
      <w:r w:rsidR="00953090">
        <w:rPr>
          <w:rFonts w:eastAsia="Cambria"/>
        </w:rPr>
        <w:t>Social Security d</w:t>
      </w:r>
      <w:r w:rsidR="00050AE7">
        <w:rPr>
          <w:rFonts w:eastAsia="Cambria"/>
        </w:rPr>
        <w:t xml:space="preserve">isability </w:t>
      </w:r>
      <w:r w:rsidR="00953090">
        <w:rPr>
          <w:rFonts w:eastAsia="Cambria"/>
        </w:rPr>
        <w:t xml:space="preserve">benefits </w:t>
      </w:r>
      <w:r w:rsidR="00050AE7">
        <w:rPr>
          <w:rFonts w:eastAsia="Cambria"/>
        </w:rPr>
        <w:t xml:space="preserve">and then wait a period of 24 months.  </w:t>
      </w:r>
      <w:r w:rsidR="00AB074D" w:rsidRPr="00B62337">
        <w:rPr>
          <w:rFonts w:eastAsia="Cambria"/>
        </w:rPr>
        <w:t>Thus</w:t>
      </w:r>
      <w:r w:rsidR="00F46AFD">
        <w:rPr>
          <w:rFonts w:eastAsia="Cambria"/>
        </w:rPr>
        <w:t>,</w:t>
      </w:r>
      <w:r w:rsidR="00AB074D" w:rsidRPr="00B62337">
        <w:rPr>
          <w:rFonts w:eastAsia="Cambria"/>
        </w:rPr>
        <w:t xml:space="preserve"> when individuals with younger</w:t>
      </w:r>
      <w:r>
        <w:rPr>
          <w:rFonts w:eastAsia="Cambria"/>
        </w:rPr>
        <w:t>-</w:t>
      </w:r>
      <w:r w:rsidR="00AB074D" w:rsidRPr="00B62337">
        <w:rPr>
          <w:rFonts w:eastAsia="Cambria"/>
        </w:rPr>
        <w:t xml:space="preserve">onset Alzheimer’s </w:t>
      </w:r>
      <w:r w:rsidR="002E464D">
        <w:rPr>
          <w:rFonts w:eastAsia="Cambria"/>
        </w:rPr>
        <w:t>d</w:t>
      </w:r>
      <w:r w:rsidR="00AB074D" w:rsidRPr="00B62337">
        <w:rPr>
          <w:rFonts w:eastAsia="Cambria"/>
        </w:rPr>
        <w:t xml:space="preserve">isease become </w:t>
      </w:r>
      <w:r w:rsidR="00050AE7">
        <w:rPr>
          <w:rFonts w:eastAsia="Cambria"/>
        </w:rPr>
        <w:t>unable to work and in need of assistance</w:t>
      </w:r>
      <w:r w:rsidR="00AB074D" w:rsidRPr="00B62337">
        <w:rPr>
          <w:rFonts w:eastAsia="Cambria"/>
        </w:rPr>
        <w:t xml:space="preserve"> in their </w:t>
      </w:r>
      <w:r>
        <w:rPr>
          <w:rFonts w:eastAsia="Cambria"/>
        </w:rPr>
        <w:t>thirties, forties, and fifties,</w:t>
      </w:r>
      <w:r w:rsidR="00AB074D" w:rsidRPr="00B62337">
        <w:rPr>
          <w:rFonts w:eastAsia="Cambria"/>
        </w:rPr>
        <w:t xml:space="preserve"> extra stress and expense are experienced by families who are already suffering.  </w:t>
      </w:r>
      <w:r w:rsidR="00050AE7">
        <w:rPr>
          <w:rFonts w:eastAsia="Cambria"/>
        </w:rPr>
        <w:t>C</w:t>
      </w:r>
      <w:r w:rsidR="00AB074D" w:rsidRPr="00B62337">
        <w:rPr>
          <w:rFonts w:eastAsia="Cambria"/>
        </w:rPr>
        <w:t xml:space="preserve">hildren </w:t>
      </w:r>
      <w:r w:rsidR="00050AE7">
        <w:rPr>
          <w:rFonts w:eastAsia="Cambria"/>
        </w:rPr>
        <w:t xml:space="preserve">of these individuals frequently take on caregiving duties out of necessity, </w:t>
      </w:r>
      <w:r w:rsidR="009E0973">
        <w:rPr>
          <w:rFonts w:eastAsia="Cambria"/>
        </w:rPr>
        <w:t>which creates</w:t>
      </w:r>
      <w:r w:rsidR="00050AE7">
        <w:rPr>
          <w:rFonts w:eastAsia="Cambria"/>
        </w:rPr>
        <w:t xml:space="preserve"> a reversal of roles </w:t>
      </w:r>
      <w:r w:rsidR="009E0973">
        <w:rPr>
          <w:rFonts w:eastAsia="Cambria"/>
        </w:rPr>
        <w:t xml:space="preserve">and coping </w:t>
      </w:r>
      <w:r w:rsidR="00050AE7">
        <w:rPr>
          <w:rFonts w:eastAsia="Cambria"/>
        </w:rPr>
        <w:t>difficult</w:t>
      </w:r>
      <w:r w:rsidR="009E0973">
        <w:rPr>
          <w:rFonts w:eastAsia="Cambria"/>
        </w:rPr>
        <w:t>ies</w:t>
      </w:r>
      <w:r w:rsidR="00050AE7">
        <w:rPr>
          <w:rFonts w:eastAsia="Cambria"/>
        </w:rPr>
        <w:t xml:space="preserve"> for children</w:t>
      </w:r>
      <w:r w:rsidR="009E0973">
        <w:rPr>
          <w:rFonts w:eastAsia="Cambria"/>
        </w:rPr>
        <w:t>.</w:t>
      </w:r>
      <w:r w:rsidR="0082604E">
        <w:rPr>
          <w:rStyle w:val="EndnoteReference"/>
          <w:rFonts w:eastAsia="Cambria"/>
        </w:rPr>
        <w:endnoteReference w:id="15"/>
      </w:r>
      <w:r w:rsidR="00574284">
        <w:rPr>
          <w:rFonts w:eastAsia="Cambria"/>
        </w:rPr>
        <w:t xml:space="preserve"> </w:t>
      </w:r>
    </w:p>
    <w:p w:rsidR="00C70A02" w:rsidRDefault="00C70A02" w:rsidP="00AB074D">
      <w:pPr>
        <w:jc w:val="both"/>
        <w:rPr>
          <w:rFonts w:eastAsia="Cambria"/>
        </w:rPr>
      </w:pPr>
    </w:p>
    <w:p w:rsidR="001520C3" w:rsidRDefault="00C70A02" w:rsidP="00AB074D">
      <w:pPr>
        <w:jc w:val="both"/>
        <w:rPr>
          <w:rFonts w:eastAsia="Cambria"/>
        </w:rPr>
      </w:pPr>
      <w:r>
        <w:rPr>
          <w:rFonts w:eastAsia="Cambria"/>
        </w:rPr>
        <w:lastRenderedPageBreak/>
        <w:t>During the 2013 Legislative Session, Senate Bill 86 expanded the use of discretionary funding distributed by the Department of Health and Human Services (NRS 439.630).  S</w:t>
      </w:r>
      <w:r w:rsidR="001520C3">
        <w:rPr>
          <w:rFonts w:eastAsia="Cambria"/>
        </w:rPr>
        <w:t>enate Bill 86 expanded that program to include respite care or relief for informal caretakers of any person with Alzheimer’s disease or other related dementia regardless of the age of the person.  In response to the bill passage, ADSD amended service delivery</w:t>
      </w:r>
      <w:r w:rsidR="00A805C2">
        <w:rPr>
          <w:rFonts w:eastAsia="Cambria"/>
        </w:rPr>
        <w:t xml:space="preserve"> specifications utilized by agency-sponsored grantees to allow for the provision of respite care to individuals experiencing younger-onset of Alzheimer’s disease and other dementias.</w:t>
      </w:r>
    </w:p>
    <w:p w:rsidR="0082604E" w:rsidRPr="00B62337" w:rsidRDefault="0082604E" w:rsidP="00AB074D">
      <w:pPr>
        <w:jc w:val="both"/>
        <w:rPr>
          <w:rFonts w:eastAsia="Cambria"/>
        </w:rPr>
      </w:pPr>
    </w:p>
    <w:p w:rsidR="00C9434A" w:rsidRDefault="00AB074D" w:rsidP="00A047C6">
      <w:pPr>
        <w:jc w:val="both"/>
        <w:rPr>
          <w:rFonts w:eastAsia="Cambria"/>
          <w:spacing w:val="-4"/>
        </w:rPr>
      </w:pPr>
      <w:r w:rsidRPr="00A047C6">
        <w:rPr>
          <w:rFonts w:eastAsia="Cambria"/>
          <w:b/>
          <w:spacing w:val="-4"/>
        </w:rPr>
        <w:t>Recommendation</w:t>
      </w:r>
      <w:r w:rsidR="006964E4">
        <w:rPr>
          <w:rFonts w:eastAsia="Cambria"/>
          <w:b/>
          <w:spacing w:val="-4"/>
        </w:rPr>
        <w:t xml:space="preserve"> 4</w:t>
      </w:r>
      <w:r w:rsidRPr="00A047C6">
        <w:rPr>
          <w:rFonts w:eastAsia="Cambria"/>
          <w:b/>
          <w:spacing w:val="-4"/>
        </w:rPr>
        <w:t>:</w:t>
      </w:r>
      <w:r w:rsidRPr="00A047C6">
        <w:rPr>
          <w:rFonts w:eastAsia="Cambria"/>
          <w:spacing w:val="-4"/>
        </w:rPr>
        <w:t xml:space="preserve"> </w:t>
      </w:r>
      <w:r w:rsidR="00482167">
        <w:rPr>
          <w:rFonts w:eastAsia="Cambria"/>
          <w:spacing w:val="-4"/>
        </w:rPr>
        <w:t xml:space="preserve"> </w:t>
      </w:r>
      <w:r w:rsidR="008D3CDA">
        <w:rPr>
          <w:rFonts w:eastAsia="Cambria"/>
          <w:spacing w:val="-4"/>
        </w:rPr>
        <w:t>Support NRS provisions, including those defined in AB86 of the 2013 Legislative Session, that remove age barriers that typically keep people with younger-onset Alzheimer’s disease and related disorders from receiving services that are only available to seniors (disability services, legal services, meals, respite, and ‘</w:t>
      </w:r>
      <w:r w:rsidR="0002086D">
        <w:rPr>
          <w:rFonts w:eastAsia="Cambria"/>
          <w:spacing w:val="-4"/>
        </w:rPr>
        <w:t>continuum</w:t>
      </w:r>
      <w:r w:rsidR="008D3CDA">
        <w:rPr>
          <w:rFonts w:eastAsia="Cambria"/>
          <w:spacing w:val="-4"/>
        </w:rPr>
        <w:t xml:space="preserve"> of life’ programs, such as assisted living services).  Continue to monitor the NRS provisions, related to these populations—and other provisions included in the Older Americans Act </w:t>
      </w:r>
      <w:r w:rsidR="0002086D">
        <w:rPr>
          <w:rFonts w:eastAsia="Cambria"/>
          <w:spacing w:val="-4"/>
        </w:rPr>
        <w:t xml:space="preserve">–which affect eligibility requirements for services to allow family caregivers of a person with Alzheimer’s disease or other dementia to be served, regardless of the age of the person with dementia. </w:t>
      </w:r>
      <w:r w:rsidR="00C9434A">
        <w:rPr>
          <w:rFonts w:eastAsia="Cambria"/>
          <w:spacing w:val="-4"/>
        </w:rPr>
        <w:t>In addition the TFAD supports the Care Act which will help family caregivers when those they care for are hospitalized.</w:t>
      </w:r>
      <w:r w:rsidR="0002086D">
        <w:rPr>
          <w:rFonts w:eastAsia="Cambria"/>
          <w:spacing w:val="-4"/>
        </w:rPr>
        <w:t xml:space="preserve"> </w:t>
      </w:r>
      <w:r w:rsidR="00C9434A">
        <w:rPr>
          <w:rFonts w:eastAsia="Cambria"/>
          <w:spacing w:val="-4"/>
        </w:rPr>
        <w:t xml:space="preserve"> </w:t>
      </w:r>
      <w:r w:rsidR="00A07995">
        <w:rPr>
          <w:rFonts w:eastAsia="Cambria"/>
          <w:spacing w:val="-4"/>
        </w:rPr>
        <w:t xml:space="preserve"> </w:t>
      </w:r>
    </w:p>
    <w:p w:rsidR="009B601D" w:rsidRPr="00766021" w:rsidRDefault="009B601D" w:rsidP="00A047C6">
      <w:pPr>
        <w:jc w:val="both"/>
        <w:rPr>
          <w:rFonts w:eastAsia="Calibri"/>
          <w:noProof/>
        </w:rPr>
      </w:pPr>
    </w:p>
    <w:p w:rsidR="00477689" w:rsidRPr="00F6470C" w:rsidRDefault="00AB074D" w:rsidP="00477689">
      <w:pPr>
        <w:jc w:val="both"/>
        <w:rPr>
          <w:color w:val="FF0000"/>
          <w:u w:val="single"/>
        </w:rPr>
      </w:pPr>
      <w:r w:rsidRPr="00B62337">
        <w:rPr>
          <w:rFonts w:eastAsia="Cambria"/>
          <w:b/>
        </w:rPr>
        <w:t>Indicator:</w:t>
      </w:r>
      <w:r w:rsidRPr="00B62337">
        <w:rPr>
          <w:rFonts w:eastAsia="Cambria"/>
        </w:rPr>
        <w:t xml:space="preserve"> </w:t>
      </w:r>
      <w:r w:rsidR="00863377">
        <w:rPr>
          <w:rFonts w:eastAsia="Cambria"/>
        </w:rPr>
        <w:t xml:space="preserve"> </w:t>
      </w:r>
      <w:r w:rsidR="00477689">
        <w:t>Develop a list of current statutes and regulations that include age barriers or provide the same or similar services but have disparate funding.  Periodically</w:t>
      </w:r>
      <w:r w:rsidR="009E0973">
        <w:t>,</w:t>
      </w:r>
      <w:r w:rsidR="00477689">
        <w:t xml:space="preserve"> review these statutes and regulations to determine whether barriers and disparate funding have been removed and funding has</w:t>
      </w:r>
      <w:r w:rsidR="00784082">
        <w:t xml:space="preserve"> been established to cover younger</w:t>
      </w:r>
      <w:r w:rsidR="00477689">
        <w:t>-onset funding.</w:t>
      </w:r>
      <w:r w:rsidR="009B601D">
        <w:t xml:space="preserve">  </w:t>
      </w:r>
      <w:r w:rsidR="00F6470C" w:rsidRPr="009B601D">
        <w:rPr>
          <w:color w:val="000000" w:themeColor="text1"/>
        </w:rPr>
        <w:t>Continue to collaborate with the Department of Health and Human Services (DHHS) to monitor the progress of respite services for these populations.</w:t>
      </w:r>
      <w:r w:rsidR="00980093">
        <w:rPr>
          <w:color w:val="FF0000"/>
          <w:u w:val="single"/>
        </w:rPr>
        <w:t xml:space="preserve"> </w:t>
      </w:r>
    </w:p>
    <w:p w:rsidR="00AB074D" w:rsidRPr="00B62337" w:rsidRDefault="00AB074D" w:rsidP="00477689">
      <w:pPr>
        <w:jc w:val="both"/>
        <w:rPr>
          <w:rFonts w:eastAsia="Cambria"/>
        </w:rPr>
      </w:pPr>
    </w:p>
    <w:p w:rsidR="00AB074D" w:rsidRDefault="001C6174" w:rsidP="00AB074D">
      <w:pPr>
        <w:jc w:val="both"/>
        <w:rPr>
          <w:rFonts w:eastAsia="Cambria"/>
        </w:rPr>
      </w:pPr>
      <w:r w:rsidRPr="00B62337">
        <w:rPr>
          <w:rFonts w:eastAsia="Cambria"/>
          <w:b/>
        </w:rPr>
        <w:t>Potential Funding:</w:t>
      </w:r>
      <w:r w:rsidR="00AB074D" w:rsidRPr="00B62337">
        <w:rPr>
          <w:rFonts w:eastAsia="Cambria"/>
        </w:rPr>
        <w:t xml:space="preserve"> </w:t>
      </w:r>
      <w:r w:rsidR="00863377">
        <w:rPr>
          <w:rFonts w:eastAsia="Cambria"/>
        </w:rPr>
        <w:t xml:space="preserve"> </w:t>
      </w:r>
      <w:r w:rsidR="00AB074D" w:rsidRPr="00B62337">
        <w:rPr>
          <w:rFonts w:eastAsia="Cambria"/>
        </w:rPr>
        <w:t xml:space="preserve">Aging and Disability Services </w:t>
      </w:r>
      <w:r w:rsidR="00043EE0">
        <w:rPr>
          <w:rFonts w:eastAsia="Cambria"/>
        </w:rPr>
        <w:t>Division</w:t>
      </w:r>
      <w:r w:rsidR="001503C9">
        <w:rPr>
          <w:rFonts w:eastAsia="Cambria"/>
        </w:rPr>
        <w:t>, Nevada Department of Health and Human Services</w:t>
      </w:r>
      <w:r w:rsidR="00AB074D" w:rsidRPr="00B62337">
        <w:rPr>
          <w:rFonts w:eastAsia="Cambria"/>
        </w:rPr>
        <w:t>.</w:t>
      </w:r>
    </w:p>
    <w:p w:rsidR="000216DB" w:rsidRPr="00B62337" w:rsidRDefault="000216DB" w:rsidP="00AB074D">
      <w:pPr>
        <w:jc w:val="both"/>
        <w:rPr>
          <w:rFonts w:eastAsia="Cambria"/>
        </w:rPr>
      </w:pPr>
    </w:p>
    <w:p w:rsidR="00F7291D" w:rsidRPr="00DC254F" w:rsidRDefault="00F7291D" w:rsidP="00F7291D">
      <w:pPr>
        <w:jc w:val="both"/>
        <w:rPr>
          <w:rFonts w:eastAsia="Cambria"/>
        </w:rPr>
      </w:pPr>
      <w:r w:rsidRPr="00DC254F">
        <w:rPr>
          <w:rFonts w:eastAsia="Cambria"/>
        </w:rPr>
        <w:t>Cultural Competency</w:t>
      </w:r>
    </w:p>
    <w:p w:rsidR="00F7291D" w:rsidRPr="00DC254F" w:rsidRDefault="00F7291D" w:rsidP="00F7291D">
      <w:pPr>
        <w:jc w:val="both"/>
        <w:rPr>
          <w:rFonts w:eastAsia="Cambria"/>
        </w:rPr>
      </w:pPr>
    </w:p>
    <w:p w:rsidR="00F7291D" w:rsidRPr="00DC254F" w:rsidRDefault="00F7291D" w:rsidP="00F7291D">
      <w:pPr>
        <w:jc w:val="both"/>
        <w:rPr>
          <w:rFonts w:eastAsia="Cambria"/>
        </w:rPr>
      </w:pPr>
      <w:r w:rsidRPr="00DC254F">
        <w:rPr>
          <w:rFonts w:eastAsia="Cambria"/>
        </w:rPr>
        <w:t>Nevada’s elderly population is growing increasingly more diverse, and, according to available research, minorities are less likely to utilize services.</w:t>
      </w:r>
      <w:r w:rsidRPr="00DC254F">
        <w:rPr>
          <w:rFonts w:eastAsia="Cambria"/>
          <w:vertAlign w:val="superscript"/>
        </w:rPr>
        <w:endnoteReference w:id="16"/>
      </w:r>
      <w:r w:rsidRPr="00DC254F">
        <w:rPr>
          <w:rFonts w:eastAsia="Cambria"/>
        </w:rPr>
        <w:t xml:space="preserve">  With Nevada’s rapidly changing demographics, especially the growth in the Latino population, it is imperative that the State  provide access to diagnosis and quality health care for those affected by Alzheimer’s disease and related disorders in the minority communities.  Fear, stigma, and personal and cultural beliefs that dementia is a normal part of aging can be barriers to seeking diagnosis and treatment and may delay individuals and families from seeking help.  In addition, the negative and pathology-oriented language that is commonly used to describe the experiences of persons with dementia and their families (e.g., “burden”, “stress”, “ behavioral disturbance”) within public health programs and political advocacy efforts may not accurately reflect the experience of persons from minority cultures. Social service and public health programs often focus exclusively on negative mental and physical health outcomes of caregiving. In contrast, a survey of Hispanic women found that many viewed caregiving as a positive experience and described the responsibility as a duty (as opposed to a burden) (Simpson, 2010).  Further, within collectivistic cultures it may be considered disrespectful and unacceptable to disclose personal and family experiences to persons outside of the family, or to label a family member as a “burden” or </w:t>
      </w:r>
      <w:r w:rsidRPr="00DC254F">
        <w:rPr>
          <w:rFonts w:eastAsia="Cambria"/>
        </w:rPr>
        <w:lastRenderedPageBreak/>
        <w:t xml:space="preserve">“problem”. Within the Latino community ,cultural values including </w:t>
      </w:r>
      <w:r w:rsidRPr="00DC254F">
        <w:rPr>
          <w:rFonts w:eastAsia="Cambria"/>
          <w:i/>
        </w:rPr>
        <w:t>familism</w:t>
      </w:r>
      <w:r w:rsidRPr="00DC254F">
        <w:rPr>
          <w:rFonts w:eastAsia="Cambria"/>
        </w:rPr>
        <w:t xml:space="preserve"> (the importance of family over the individual and the reliance on both the nuclear and extended family for support), respect for elders, and religious spirituality may protect families from some of the risks associated with dementia caregiving experienced by members of non-collectivistic cultures.</w:t>
      </w:r>
    </w:p>
    <w:p w:rsidR="00F7291D" w:rsidRPr="00DC254F" w:rsidRDefault="00F7291D" w:rsidP="00F7291D">
      <w:pPr>
        <w:jc w:val="both"/>
        <w:rPr>
          <w:rFonts w:eastAsia="Cambria"/>
        </w:rPr>
      </w:pPr>
    </w:p>
    <w:p w:rsidR="00F7291D" w:rsidRPr="00F7291D" w:rsidRDefault="00F7291D" w:rsidP="00F7291D">
      <w:pPr>
        <w:jc w:val="both"/>
        <w:rPr>
          <w:rFonts w:eastAsia="Cambria"/>
          <w:u w:val="single"/>
        </w:rPr>
      </w:pPr>
      <w:r w:rsidRPr="00DC254F">
        <w:rPr>
          <w:rFonts w:eastAsia="Cambria"/>
        </w:rPr>
        <w:t>Currently, available services may not be providing what families from diverse cultures need or want. Surveys have found that Latino caregivers use fewer formal support services, provide more hours of care, are less likely to report role strain, more likely to have added burden of managing their own chronic illnesses, are younger, have lower incomes and are more likely to be unemployed relative to White non-Hispanic caregivers. In addition, Latino caregivers report that they often face language barriers, cultural barriers, and discrimination when they do seek care, resulting in reduced help seeking efforts and increased strain.</w:t>
      </w:r>
      <w:r w:rsidRPr="00DC254F">
        <w:rPr>
          <w:rFonts w:eastAsia="Cambria"/>
          <w:vertAlign w:val="superscript"/>
        </w:rPr>
        <w:t>iii</w:t>
      </w:r>
      <w:r w:rsidRPr="00DC254F">
        <w:rPr>
          <w:rFonts w:eastAsia="Cambria"/>
        </w:rPr>
        <w:t xml:space="preserve"> In surveys, Latino caregivers have indicated that receiving information and services in Spanish is important to them, regardless of their fluency in English.</w:t>
      </w:r>
      <w:r w:rsidRPr="00DC254F">
        <w:rPr>
          <w:rFonts w:eastAsia="Cambria"/>
          <w:vertAlign w:val="superscript"/>
        </w:rPr>
        <w:endnoteReference w:id="17"/>
      </w:r>
      <w:r w:rsidRPr="00DC254F">
        <w:rPr>
          <w:rFonts w:eastAsia="Cambria"/>
        </w:rPr>
        <w:t xml:space="preserve"> However, given the complexity of cultural differences, simply translating information designed for the English-speaking majority population into another language is not the same as culturally tailoring a service.</w:t>
      </w:r>
      <w:r w:rsidRPr="00F7291D">
        <w:rPr>
          <w:rFonts w:eastAsia="Cambria"/>
          <w:u w:val="single"/>
        </w:rPr>
        <w:t xml:space="preserve"> </w:t>
      </w:r>
    </w:p>
    <w:p w:rsidR="00F7291D" w:rsidRPr="00F7291D" w:rsidRDefault="00F7291D" w:rsidP="00F7291D">
      <w:pPr>
        <w:jc w:val="both"/>
        <w:rPr>
          <w:rFonts w:eastAsia="Cambria"/>
          <w:u w:val="single"/>
        </w:rPr>
      </w:pPr>
    </w:p>
    <w:p w:rsidR="00F7291D" w:rsidRPr="00F7291D" w:rsidRDefault="00F7291D" w:rsidP="00F7291D">
      <w:pPr>
        <w:jc w:val="both"/>
        <w:rPr>
          <w:rFonts w:eastAsia="Cambria"/>
          <w:b/>
          <w:u w:val="single"/>
        </w:rPr>
      </w:pPr>
      <w:r w:rsidRPr="00DC254F">
        <w:rPr>
          <w:rFonts w:eastAsia="Cambria"/>
          <w:b/>
        </w:rPr>
        <w:t xml:space="preserve">Recommendation 5:  </w:t>
      </w:r>
      <w:r w:rsidRPr="00BD39D3">
        <w:rPr>
          <w:rFonts w:eastAsia="Cambria"/>
        </w:rPr>
        <w:t>Conduct a needs assessment to better understand the experiences and needs of Nevada’s minority communities.</w:t>
      </w:r>
    </w:p>
    <w:p w:rsidR="00F7291D" w:rsidRPr="00F7291D" w:rsidRDefault="00F7291D" w:rsidP="00F7291D">
      <w:pPr>
        <w:jc w:val="both"/>
        <w:rPr>
          <w:rFonts w:eastAsia="Cambria"/>
          <w:b/>
          <w:u w:val="single"/>
        </w:rPr>
      </w:pPr>
    </w:p>
    <w:p w:rsidR="00F7291D" w:rsidRPr="00DC254F" w:rsidRDefault="00F7291D" w:rsidP="00F7291D">
      <w:pPr>
        <w:jc w:val="both"/>
        <w:rPr>
          <w:rFonts w:eastAsia="Cambria"/>
        </w:rPr>
      </w:pPr>
      <w:r w:rsidRPr="00DC254F">
        <w:rPr>
          <w:rFonts w:eastAsia="Cambria"/>
        </w:rPr>
        <w:t xml:space="preserve">It is also recommended that the findings of the needs assessment be used to develop toolkits to assist public and private organizations in their outreach to different cultural communities.  </w:t>
      </w:r>
    </w:p>
    <w:p w:rsidR="00F7291D" w:rsidRPr="00DC254F" w:rsidRDefault="00F7291D" w:rsidP="00F7291D">
      <w:pPr>
        <w:jc w:val="both"/>
        <w:rPr>
          <w:rFonts w:eastAsia="Cambria"/>
        </w:rPr>
      </w:pPr>
    </w:p>
    <w:p w:rsidR="00F7291D" w:rsidRPr="00DC254F" w:rsidRDefault="00F7291D" w:rsidP="00F7291D">
      <w:pPr>
        <w:jc w:val="both"/>
        <w:rPr>
          <w:rFonts w:eastAsia="Cambria"/>
        </w:rPr>
      </w:pPr>
      <w:r w:rsidRPr="00DC254F">
        <w:rPr>
          <w:rFonts w:eastAsia="Cambria"/>
          <w:b/>
        </w:rPr>
        <w:t xml:space="preserve">Indicator:  </w:t>
      </w:r>
      <w:r w:rsidRPr="00DC254F">
        <w:rPr>
          <w:rFonts w:eastAsia="Cambria"/>
        </w:rPr>
        <w:t xml:space="preserve">Survey providers and monitor rates of service utilization and satisfaction by different cultural groups.  </w:t>
      </w:r>
    </w:p>
    <w:p w:rsidR="00F7291D" w:rsidRPr="00DC254F" w:rsidRDefault="00F7291D" w:rsidP="00F7291D">
      <w:pPr>
        <w:jc w:val="both"/>
        <w:rPr>
          <w:rFonts w:eastAsia="Cambria"/>
          <w:b/>
        </w:rPr>
      </w:pPr>
    </w:p>
    <w:p w:rsidR="00F7291D" w:rsidRPr="00F7291D" w:rsidRDefault="00F7291D" w:rsidP="00F7291D">
      <w:pPr>
        <w:jc w:val="both"/>
        <w:rPr>
          <w:rFonts w:eastAsia="Cambria"/>
          <w:u w:val="single"/>
        </w:rPr>
      </w:pPr>
      <w:r w:rsidRPr="00DC254F">
        <w:rPr>
          <w:rFonts w:eastAsia="Cambria"/>
          <w:b/>
        </w:rPr>
        <w:t xml:space="preserve">Potential Funding:  </w:t>
      </w:r>
      <w:r w:rsidRPr="00DC254F">
        <w:rPr>
          <w:rFonts w:eastAsia="Cambria"/>
        </w:rPr>
        <w:t>U.S. Administration on Aging grants; collaboration with different cultural and ethnic organizations; Alzheimer’s Association.</w:t>
      </w:r>
    </w:p>
    <w:p w:rsidR="00AB074D" w:rsidRPr="00B62337" w:rsidRDefault="00AB074D" w:rsidP="00AB074D">
      <w:pPr>
        <w:jc w:val="both"/>
        <w:rPr>
          <w:rFonts w:eastAsia="Cambria"/>
        </w:rPr>
      </w:pPr>
    </w:p>
    <w:p w:rsidR="00AB074D" w:rsidRPr="00B62337" w:rsidRDefault="00AB074D" w:rsidP="00AB074D">
      <w:pPr>
        <w:jc w:val="both"/>
        <w:rPr>
          <w:rFonts w:eastAsia="Cambria"/>
        </w:rPr>
      </w:pPr>
    </w:p>
    <w:p w:rsidR="00AB074D" w:rsidRPr="00B62337" w:rsidRDefault="00AB074D" w:rsidP="00AB074D">
      <w:pPr>
        <w:jc w:val="both"/>
        <w:rPr>
          <w:rFonts w:eastAsia="Cambria"/>
          <w:u w:val="single"/>
        </w:rPr>
      </w:pPr>
      <w:r w:rsidRPr="00B62337">
        <w:rPr>
          <w:rFonts w:eastAsia="Cambria"/>
          <w:u w:val="single"/>
        </w:rPr>
        <w:t xml:space="preserve">Medicare, Medicaid, Health Insurance, and Financing Care </w:t>
      </w:r>
    </w:p>
    <w:p w:rsidR="00AB074D" w:rsidRPr="00B62337" w:rsidRDefault="00AB074D" w:rsidP="00AB074D">
      <w:pPr>
        <w:jc w:val="both"/>
        <w:rPr>
          <w:rFonts w:eastAsia="Cambria"/>
          <w:b/>
        </w:rPr>
      </w:pPr>
    </w:p>
    <w:p w:rsidR="00AB074D" w:rsidRPr="00B62337" w:rsidRDefault="004F41CC" w:rsidP="00AB074D">
      <w:pPr>
        <w:jc w:val="both"/>
        <w:rPr>
          <w:rFonts w:eastAsia="Cambria"/>
        </w:rPr>
      </w:pPr>
      <w:r>
        <w:rPr>
          <w:rFonts w:eastAsia="Cambria"/>
        </w:rPr>
        <w:t>Calculations from the</w:t>
      </w:r>
      <w:r w:rsidR="00AB074D" w:rsidRPr="00B62337">
        <w:rPr>
          <w:rFonts w:eastAsia="Cambria"/>
        </w:rPr>
        <w:t xml:space="preserve"> “2012 Alzheimer’s Disease Facts and Figures”</w:t>
      </w:r>
      <w:r>
        <w:rPr>
          <w:rFonts w:eastAsia="Cambria"/>
        </w:rPr>
        <w:t xml:space="preserve"> report</w:t>
      </w:r>
      <w:r w:rsidR="00AB074D" w:rsidRPr="00B62337">
        <w:rPr>
          <w:rFonts w:eastAsia="Cambria"/>
        </w:rPr>
        <w:t xml:space="preserve"> indicate that Medicare pays about 52 percent of the costs of care for Americans</w:t>
      </w:r>
      <w:r w:rsidR="004A5071">
        <w:rPr>
          <w:rFonts w:eastAsia="Cambria"/>
        </w:rPr>
        <w:t>,</w:t>
      </w:r>
      <w:r w:rsidR="00AB074D" w:rsidRPr="00B62337">
        <w:rPr>
          <w:rFonts w:eastAsia="Cambria"/>
        </w:rPr>
        <w:t xml:space="preserve"> age</w:t>
      </w:r>
      <w:r w:rsidR="009E54BA">
        <w:rPr>
          <w:rFonts w:eastAsia="Cambria"/>
        </w:rPr>
        <w:t>d</w:t>
      </w:r>
      <w:r w:rsidR="00AB074D" w:rsidRPr="00B62337">
        <w:rPr>
          <w:rFonts w:eastAsia="Cambria"/>
        </w:rPr>
        <w:t xml:space="preserve"> 65 and older</w:t>
      </w:r>
      <w:r w:rsidR="004A5071">
        <w:rPr>
          <w:rFonts w:eastAsia="Cambria"/>
        </w:rPr>
        <w:t>,</w:t>
      </w:r>
      <w:r w:rsidR="00AB074D" w:rsidRPr="00B62337">
        <w:rPr>
          <w:rFonts w:eastAsia="Cambria"/>
        </w:rPr>
        <w:t xml:space="preserve"> with Alzheimer’s </w:t>
      </w:r>
      <w:r w:rsidR="002E464D">
        <w:rPr>
          <w:rFonts w:eastAsia="Cambria"/>
        </w:rPr>
        <w:t>d</w:t>
      </w:r>
      <w:r w:rsidR="00AB074D" w:rsidRPr="00B62337">
        <w:rPr>
          <w:rFonts w:eastAsia="Cambria"/>
        </w:rPr>
        <w:t xml:space="preserve">isease and </w:t>
      </w:r>
      <w:r w:rsidR="00800BEB">
        <w:rPr>
          <w:rFonts w:eastAsia="Cambria"/>
        </w:rPr>
        <w:t>related disorders</w:t>
      </w:r>
      <w:r w:rsidR="004A5071">
        <w:rPr>
          <w:rFonts w:eastAsia="Cambria"/>
        </w:rPr>
        <w:t>,</w:t>
      </w:r>
      <w:r w:rsidR="00281771">
        <w:rPr>
          <w:rFonts w:eastAsia="Cambria"/>
        </w:rPr>
        <w:t xml:space="preserve"> while Medicaid pays about 18 </w:t>
      </w:r>
      <w:r w:rsidR="00AB074D" w:rsidRPr="00B62337">
        <w:rPr>
          <w:rFonts w:eastAsia="Cambria"/>
        </w:rPr>
        <w:t>percent.  Out</w:t>
      </w:r>
      <w:r w:rsidR="00172DBD">
        <w:rPr>
          <w:rFonts w:eastAsia="Cambria"/>
        </w:rPr>
        <w:noBreakHyphen/>
      </w:r>
      <w:r w:rsidR="00AB074D" w:rsidRPr="00B62337">
        <w:rPr>
          <w:rFonts w:eastAsia="Cambria"/>
        </w:rPr>
        <w:t>of</w:t>
      </w:r>
      <w:r w:rsidR="00172DBD">
        <w:rPr>
          <w:rFonts w:eastAsia="Cambria"/>
        </w:rPr>
        <w:noBreakHyphen/>
      </w:r>
      <w:r w:rsidR="00AB074D" w:rsidRPr="00B62337">
        <w:rPr>
          <w:rFonts w:eastAsia="Cambria"/>
        </w:rPr>
        <w:t>pocket payers pay 17 percent and other payers</w:t>
      </w:r>
      <w:r w:rsidR="004A5071">
        <w:rPr>
          <w:rFonts w:eastAsia="Cambria"/>
        </w:rPr>
        <w:t>,</w:t>
      </w:r>
      <w:r w:rsidR="00AB074D" w:rsidRPr="00B62337">
        <w:rPr>
          <w:rFonts w:eastAsia="Cambria"/>
        </w:rPr>
        <w:t xml:space="preserve"> such as private insurance, health maintenance organizations, other managed care organizations, and uncompensated care</w:t>
      </w:r>
      <w:r w:rsidR="00475121">
        <w:rPr>
          <w:rFonts w:eastAsia="Cambria"/>
        </w:rPr>
        <w:t>,</w:t>
      </w:r>
      <w:r w:rsidR="00AB074D" w:rsidRPr="00B62337">
        <w:rPr>
          <w:rFonts w:eastAsia="Cambria"/>
        </w:rPr>
        <w:t xml:space="preserve"> pay 13 percent.  </w:t>
      </w:r>
    </w:p>
    <w:p w:rsidR="00AB074D" w:rsidRPr="00B62337" w:rsidRDefault="00AB074D" w:rsidP="00AB074D">
      <w:pPr>
        <w:jc w:val="both"/>
        <w:rPr>
          <w:rFonts w:eastAsia="Cambria"/>
        </w:rPr>
      </w:pPr>
    </w:p>
    <w:p w:rsidR="00AB074D" w:rsidRPr="00B62337" w:rsidRDefault="00AB074D" w:rsidP="00AB074D">
      <w:pPr>
        <w:jc w:val="both"/>
        <w:rPr>
          <w:rFonts w:eastAsia="Cambria"/>
        </w:rPr>
      </w:pPr>
      <w:r w:rsidRPr="00B62337">
        <w:rPr>
          <w:rFonts w:eastAsia="Cambria"/>
        </w:rPr>
        <w:t xml:space="preserve">Medicare beneficiaries with Alzheimer’s </w:t>
      </w:r>
      <w:r w:rsidR="002E464D">
        <w:rPr>
          <w:rFonts w:eastAsia="Cambria"/>
        </w:rPr>
        <w:t>d</w:t>
      </w:r>
      <w:r w:rsidRPr="00B62337">
        <w:rPr>
          <w:rFonts w:eastAsia="Cambria"/>
        </w:rPr>
        <w:t>isease are more likely to have other chronic diseases or conditions</w:t>
      </w:r>
      <w:r w:rsidR="00475121">
        <w:rPr>
          <w:rFonts w:eastAsia="Cambria"/>
        </w:rPr>
        <w:t>,</w:t>
      </w:r>
      <w:r w:rsidRPr="00B62337">
        <w:rPr>
          <w:rFonts w:eastAsia="Cambria"/>
        </w:rPr>
        <w:t xml:space="preserve"> and </w:t>
      </w:r>
      <w:r w:rsidR="00475121">
        <w:rPr>
          <w:rFonts w:eastAsia="Cambria"/>
        </w:rPr>
        <w:t xml:space="preserve">they </w:t>
      </w:r>
      <w:r w:rsidRPr="00B62337">
        <w:rPr>
          <w:rFonts w:eastAsia="Cambria"/>
        </w:rPr>
        <w:t>are more likely to be hospitalized than those who have the same conditions but do not also have dementia.</w:t>
      </w:r>
      <w:r w:rsidR="00475121">
        <w:rPr>
          <w:rFonts w:eastAsia="Cambria"/>
        </w:rPr>
        <w:t xml:space="preserve">  </w:t>
      </w:r>
      <w:r w:rsidR="00475121" w:rsidRPr="00B62337">
        <w:rPr>
          <w:rFonts w:eastAsia="Cambria"/>
        </w:rPr>
        <w:t>Medicaid is the only public program that covers long-term (custodial) care stays</w:t>
      </w:r>
      <w:r w:rsidR="00E870FB">
        <w:rPr>
          <w:rFonts w:eastAsia="Cambria"/>
        </w:rPr>
        <w:t>.</w:t>
      </w:r>
      <w:r w:rsidR="00E870FB">
        <w:rPr>
          <w:rStyle w:val="EndnoteReference"/>
          <w:rFonts w:eastAsia="Cambria"/>
        </w:rPr>
        <w:endnoteReference w:id="18"/>
      </w:r>
      <w:r w:rsidR="004F41CC">
        <w:rPr>
          <w:rFonts w:eastAsia="Cambria"/>
        </w:rPr>
        <w:t xml:space="preserve"> </w:t>
      </w:r>
    </w:p>
    <w:p w:rsidR="00AB074D" w:rsidRPr="00B62337" w:rsidRDefault="00AB074D" w:rsidP="00AB074D">
      <w:pPr>
        <w:jc w:val="both"/>
        <w:rPr>
          <w:rFonts w:eastAsia="Cambria"/>
          <w:b/>
        </w:rPr>
      </w:pPr>
    </w:p>
    <w:p w:rsidR="000609B6" w:rsidRPr="000609B6" w:rsidRDefault="00AB074D" w:rsidP="00A047C6">
      <w:pPr>
        <w:jc w:val="both"/>
        <w:rPr>
          <w:rFonts w:eastAsia="Calibri"/>
        </w:rPr>
      </w:pPr>
      <w:r w:rsidRPr="000609B6">
        <w:rPr>
          <w:rFonts w:eastAsia="Cambria"/>
          <w:b/>
        </w:rPr>
        <w:t>Recommendation</w:t>
      </w:r>
      <w:r w:rsidR="006964E4">
        <w:rPr>
          <w:rFonts w:eastAsia="Cambria"/>
          <w:b/>
        </w:rPr>
        <w:t xml:space="preserve"> 6</w:t>
      </w:r>
      <w:r w:rsidRPr="000609B6">
        <w:rPr>
          <w:rFonts w:eastAsia="Cambria"/>
          <w:b/>
        </w:rPr>
        <w:t xml:space="preserve">: </w:t>
      </w:r>
      <w:r w:rsidR="00396E3C" w:rsidRPr="000609B6">
        <w:rPr>
          <w:rFonts w:eastAsia="Cambria"/>
          <w:b/>
        </w:rPr>
        <w:t xml:space="preserve"> </w:t>
      </w:r>
      <w:r w:rsidR="000609B6" w:rsidRPr="000609B6">
        <w:rPr>
          <w:rFonts w:eastAsia="Calibri"/>
        </w:rPr>
        <w:t xml:space="preserve">Address affordability of services for persons with Alzheimer’s disease and </w:t>
      </w:r>
      <w:r w:rsidR="00800BEB">
        <w:rPr>
          <w:rFonts w:eastAsia="Calibri"/>
        </w:rPr>
        <w:t>related disorders</w:t>
      </w:r>
      <w:r w:rsidR="000609B6" w:rsidRPr="000609B6">
        <w:rPr>
          <w:rFonts w:eastAsia="Calibri"/>
        </w:rPr>
        <w:t xml:space="preserve"> and </w:t>
      </w:r>
      <w:r w:rsidR="0002086D">
        <w:rPr>
          <w:rFonts w:eastAsia="Calibri"/>
        </w:rPr>
        <w:t xml:space="preserve">explore </w:t>
      </w:r>
      <w:r w:rsidR="000609B6" w:rsidRPr="000609B6">
        <w:rPr>
          <w:rFonts w:eastAsia="Calibri"/>
        </w:rPr>
        <w:t>other cost-sharing mechanisms.</w:t>
      </w:r>
    </w:p>
    <w:p w:rsidR="00AB074D" w:rsidRPr="00B62337" w:rsidRDefault="00AB074D" w:rsidP="00AB074D">
      <w:pPr>
        <w:jc w:val="both"/>
        <w:rPr>
          <w:rFonts w:eastAsia="Calibri"/>
        </w:rPr>
      </w:pPr>
    </w:p>
    <w:p w:rsidR="00AB074D" w:rsidRPr="00B62337" w:rsidRDefault="00AB074D" w:rsidP="00AB074D">
      <w:pPr>
        <w:jc w:val="both"/>
        <w:rPr>
          <w:rFonts w:eastAsia="Calibri"/>
        </w:rPr>
      </w:pPr>
      <w:r w:rsidRPr="00B62337">
        <w:rPr>
          <w:rFonts w:eastAsia="Calibri"/>
          <w:b/>
        </w:rPr>
        <w:lastRenderedPageBreak/>
        <w:t xml:space="preserve">Indicator: </w:t>
      </w:r>
      <w:r w:rsidR="00396E3C">
        <w:rPr>
          <w:rFonts w:eastAsia="Calibri"/>
          <w:b/>
        </w:rPr>
        <w:t xml:space="preserve"> </w:t>
      </w:r>
      <w:r w:rsidRPr="00B62337">
        <w:rPr>
          <w:rFonts w:eastAsia="Calibri"/>
        </w:rPr>
        <w:t>Survey providers of aforementioned services</w:t>
      </w:r>
      <w:r w:rsidR="00475121">
        <w:rPr>
          <w:rFonts w:eastAsia="Calibri"/>
        </w:rPr>
        <w:t>,</w:t>
      </w:r>
      <w:r w:rsidRPr="00B62337">
        <w:rPr>
          <w:rFonts w:eastAsia="Cambria"/>
        </w:rPr>
        <w:t xml:space="preserve"> </w:t>
      </w:r>
      <w:r w:rsidRPr="00B62337">
        <w:rPr>
          <w:rFonts w:eastAsia="Calibri"/>
        </w:rPr>
        <w:t>such as Nevada Health Centers, Access to Health Care, Health Access Washoe County, Volunteers in Medicine of Southern</w:t>
      </w:r>
      <w:r w:rsidR="00396E3C">
        <w:rPr>
          <w:rFonts w:eastAsia="Calibri"/>
        </w:rPr>
        <w:t> </w:t>
      </w:r>
      <w:r w:rsidRPr="00B62337">
        <w:rPr>
          <w:rFonts w:eastAsia="Calibri"/>
        </w:rPr>
        <w:t>Nevada</w:t>
      </w:r>
      <w:r w:rsidR="00AF4F50">
        <w:rPr>
          <w:rFonts w:eastAsia="Calibri"/>
        </w:rPr>
        <w:t xml:space="preserve"> </w:t>
      </w:r>
      <w:r w:rsidR="00750F32">
        <w:rPr>
          <w:rFonts w:eastAsia="Calibri"/>
        </w:rPr>
        <w:t xml:space="preserve">Continue to </w:t>
      </w:r>
      <w:r w:rsidRPr="00B62337">
        <w:rPr>
          <w:rFonts w:eastAsia="Calibri"/>
        </w:rPr>
        <w:t>monitor expansion of Medicaid Services s</w:t>
      </w:r>
      <w:r w:rsidR="00AF4F50">
        <w:rPr>
          <w:rFonts w:eastAsia="Calibri"/>
        </w:rPr>
        <w:t>hould the State choose to do </w:t>
      </w:r>
      <w:commentRangeStart w:id="1"/>
      <w:r w:rsidRPr="00B62337">
        <w:rPr>
          <w:rFonts w:eastAsia="Calibri"/>
        </w:rPr>
        <w:t>so</w:t>
      </w:r>
      <w:commentRangeEnd w:id="1"/>
      <w:r w:rsidR="00A3551C">
        <w:rPr>
          <w:rStyle w:val="CommentReference"/>
        </w:rPr>
        <w:commentReference w:id="1"/>
      </w:r>
      <w:r w:rsidRPr="00B62337">
        <w:rPr>
          <w:rFonts w:eastAsia="Calibri"/>
        </w:rPr>
        <w:t xml:space="preserve">. </w:t>
      </w:r>
    </w:p>
    <w:p w:rsidR="00AB074D" w:rsidRPr="00B62337" w:rsidRDefault="00AB074D" w:rsidP="00AB074D">
      <w:pPr>
        <w:jc w:val="both"/>
        <w:rPr>
          <w:rFonts w:eastAsia="Calibri"/>
        </w:rPr>
      </w:pPr>
    </w:p>
    <w:p w:rsidR="00AB074D" w:rsidRPr="00B62337" w:rsidRDefault="001C6174" w:rsidP="00AB074D">
      <w:pPr>
        <w:jc w:val="both"/>
        <w:rPr>
          <w:rFonts w:eastAsia="Cambria"/>
        </w:rPr>
      </w:pPr>
      <w:r w:rsidRPr="00B62337">
        <w:rPr>
          <w:rFonts w:eastAsia="Calibri"/>
          <w:b/>
        </w:rPr>
        <w:t>Potential Funding:</w:t>
      </w:r>
      <w:r w:rsidR="00AB074D" w:rsidRPr="00B62337">
        <w:rPr>
          <w:rFonts w:eastAsia="Calibri"/>
          <w:b/>
        </w:rPr>
        <w:t xml:space="preserve"> </w:t>
      </w:r>
      <w:r w:rsidR="00396E3C">
        <w:rPr>
          <w:rFonts w:eastAsia="Calibri"/>
          <w:b/>
        </w:rPr>
        <w:t xml:space="preserve"> </w:t>
      </w:r>
      <w:r w:rsidR="00AB074D" w:rsidRPr="00B62337">
        <w:rPr>
          <w:rFonts w:eastAsia="Calibri"/>
        </w:rPr>
        <w:t>Medicaid expansion.</w:t>
      </w:r>
    </w:p>
    <w:p w:rsidR="00AB074D" w:rsidRPr="00B62337" w:rsidRDefault="00AB074D" w:rsidP="00AB074D">
      <w:pPr>
        <w:jc w:val="both"/>
        <w:rPr>
          <w:b/>
        </w:rPr>
      </w:pPr>
    </w:p>
    <w:p w:rsidR="009C50CC" w:rsidRDefault="00DD6E0F" w:rsidP="00D83D49">
      <w:pPr>
        <w:rPr>
          <w:b/>
        </w:rPr>
      </w:pPr>
      <w:r>
        <w:rPr>
          <w:b/>
        </w:rPr>
        <w:br w:type="page"/>
      </w:r>
      <w:r w:rsidR="006E38D7" w:rsidRPr="00B62337">
        <w:rPr>
          <w:b/>
        </w:rPr>
        <w:lastRenderedPageBreak/>
        <w:t>Chapter 3:</w:t>
      </w:r>
      <w:r w:rsidR="00396E3C">
        <w:rPr>
          <w:b/>
        </w:rPr>
        <w:t xml:space="preserve"> </w:t>
      </w:r>
      <w:r w:rsidR="006E38D7" w:rsidRPr="00B62337">
        <w:rPr>
          <w:b/>
        </w:rPr>
        <w:t xml:space="preserve"> </w:t>
      </w:r>
      <w:r w:rsidR="00ED79C9" w:rsidRPr="00B62337">
        <w:rPr>
          <w:b/>
        </w:rPr>
        <w:t>Quality of Care</w:t>
      </w:r>
    </w:p>
    <w:p w:rsidR="00396E3C" w:rsidRPr="00B62337" w:rsidRDefault="00396E3C" w:rsidP="00D679FC">
      <w:pPr>
        <w:keepNext/>
        <w:jc w:val="both"/>
        <w:rPr>
          <w:b/>
        </w:rPr>
      </w:pPr>
    </w:p>
    <w:p w:rsidR="00575E4A" w:rsidRDefault="00575E4A" w:rsidP="00D679FC">
      <w:pPr>
        <w:keepNext/>
        <w:shd w:val="clear" w:color="auto" w:fill="FFFFFF"/>
        <w:jc w:val="both"/>
      </w:pPr>
      <w:r w:rsidRPr="00B62337">
        <w:t xml:space="preserve">In 1984, the </w:t>
      </w:r>
      <w:hyperlink r:id="rId17" w:history="1">
        <w:r w:rsidRPr="00B62337">
          <w:t>American Medical Association</w:t>
        </w:r>
      </w:hyperlink>
      <w:r w:rsidRPr="00B62337">
        <w:t xml:space="preserve"> (</w:t>
      </w:r>
      <w:hyperlink r:id="rId18" w:history="1">
        <w:r w:rsidRPr="00B62337">
          <w:t>AMA</w:t>
        </w:r>
      </w:hyperlink>
      <w:r w:rsidRPr="00B62337">
        <w:t>) characterized high</w:t>
      </w:r>
      <w:r w:rsidR="004E6571">
        <w:t>-</w:t>
      </w:r>
      <w:r w:rsidRPr="00B62337">
        <w:t xml:space="preserve">quality care as </w:t>
      </w:r>
      <w:r w:rsidR="00D679FC">
        <w:t>“</w:t>
      </w:r>
      <w:r w:rsidRPr="00B62337">
        <w:t xml:space="preserve">care which consistently contributes to the improvement or maintenance of quality and/or </w:t>
      </w:r>
      <w:hyperlink r:id="rId19" w:history="1">
        <w:r w:rsidRPr="00B62337">
          <w:t>duration</w:t>
        </w:r>
      </w:hyperlink>
      <w:r w:rsidRPr="00B62337">
        <w:t xml:space="preserve"> of life.</w:t>
      </w:r>
      <w:r w:rsidR="00930C57">
        <w:t>”  </w:t>
      </w:r>
      <w:r w:rsidRPr="00B62337">
        <w:t>The AMA specified the aspects, or features, of care that should be measured to determine quality.</w:t>
      </w:r>
      <w:r w:rsidR="00D679FC">
        <w:t xml:space="preserve"> </w:t>
      </w:r>
      <w:r w:rsidRPr="00B62337">
        <w:t xml:space="preserve"> These features included:</w:t>
      </w:r>
    </w:p>
    <w:p w:rsidR="00D679FC" w:rsidRPr="00B62337" w:rsidRDefault="00D679FC" w:rsidP="00D679FC">
      <w:pPr>
        <w:keepNext/>
        <w:shd w:val="clear" w:color="auto" w:fill="FFFFFF"/>
        <w:jc w:val="both"/>
      </w:pPr>
    </w:p>
    <w:p w:rsidR="008077C9" w:rsidRDefault="00D679FC" w:rsidP="00D67BA3">
      <w:pPr>
        <w:pStyle w:val="ListParagraph"/>
        <w:numPr>
          <w:ilvl w:val="0"/>
          <w:numId w:val="2"/>
        </w:numPr>
        <w:tabs>
          <w:tab w:val="left" w:pos="360"/>
          <w:tab w:val="left" w:pos="720"/>
          <w:tab w:val="left" w:pos="1080"/>
        </w:tabs>
        <w:contextualSpacing w:val="0"/>
        <w:jc w:val="both"/>
      </w:pPr>
      <w:r>
        <w:t>A</w:t>
      </w:r>
      <w:r w:rsidR="00575E4A" w:rsidRPr="00B62337">
        <w:t>ttention to evidence-based, scientific medicine</w:t>
      </w:r>
      <w:r>
        <w:t>;</w:t>
      </w:r>
      <w:r w:rsidR="008077C9" w:rsidRPr="008077C9">
        <w:t xml:space="preserve"> </w:t>
      </w:r>
    </w:p>
    <w:p w:rsidR="00D679FC" w:rsidRPr="00B62337" w:rsidRDefault="00D679FC" w:rsidP="00EA1655">
      <w:pPr>
        <w:keepNext/>
        <w:shd w:val="clear" w:color="auto" w:fill="FFFFFF"/>
        <w:ind w:left="360"/>
        <w:jc w:val="both"/>
      </w:pPr>
    </w:p>
    <w:p w:rsidR="00EA1655" w:rsidRDefault="00D679FC" w:rsidP="00D67BA3">
      <w:pPr>
        <w:pStyle w:val="ListParagraph"/>
        <w:numPr>
          <w:ilvl w:val="0"/>
          <w:numId w:val="2"/>
        </w:numPr>
        <w:tabs>
          <w:tab w:val="left" w:pos="360"/>
          <w:tab w:val="left" w:pos="720"/>
          <w:tab w:val="left" w:pos="1080"/>
        </w:tabs>
        <w:contextualSpacing w:val="0"/>
        <w:jc w:val="both"/>
      </w:pPr>
      <w:r>
        <w:t>T</w:t>
      </w:r>
      <w:r w:rsidR="00575E4A" w:rsidRPr="00B62337">
        <w:t>imely and efficient use of resources</w:t>
      </w:r>
      <w:r>
        <w:t>;</w:t>
      </w:r>
      <w:r w:rsidR="00EA1655" w:rsidRPr="00EA1655">
        <w:t xml:space="preserve"> </w:t>
      </w:r>
    </w:p>
    <w:p w:rsidR="00D679FC" w:rsidRPr="00B62337" w:rsidRDefault="00D679FC" w:rsidP="00EA1655">
      <w:pPr>
        <w:shd w:val="clear" w:color="auto" w:fill="FFFFFF"/>
        <w:ind w:left="360"/>
        <w:jc w:val="both"/>
      </w:pPr>
    </w:p>
    <w:p w:rsidR="00EA1655" w:rsidRDefault="00D679FC" w:rsidP="00D67BA3">
      <w:pPr>
        <w:pStyle w:val="ListParagraph"/>
        <w:numPr>
          <w:ilvl w:val="0"/>
          <w:numId w:val="2"/>
        </w:numPr>
        <w:tabs>
          <w:tab w:val="left" w:pos="360"/>
          <w:tab w:val="left" w:pos="720"/>
          <w:tab w:val="left" w:pos="1080"/>
        </w:tabs>
        <w:contextualSpacing w:val="0"/>
        <w:jc w:val="both"/>
      </w:pPr>
      <w:r>
        <w:t>E</w:t>
      </w:r>
      <w:r w:rsidR="00575E4A" w:rsidRPr="00B62337">
        <w:t xml:space="preserve">mphasis on </w:t>
      </w:r>
      <w:hyperlink r:id="rId20" w:history="1">
        <w:r w:rsidR="00575E4A" w:rsidRPr="00B62337">
          <w:t>disease prevention</w:t>
        </w:r>
      </w:hyperlink>
      <w:r w:rsidR="00575E4A" w:rsidRPr="00B62337">
        <w:t xml:space="preserve"> and health promotion</w:t>
      </w:r>
      <w:r>
        <w:t>; and</w:t>
      </w:r>
    </w:p>
    <w:p w:rsidR="00D679FC" w:rsidRPr="00B62337" w:rsidRDefault="00D679FC" w:rsidP="00EA1655">
      <w:pPr>
        <w:shd w:val="clear" w:color="auto" w:fill="FFFFFF"/>
        <w:ind w:left="360"/>
        <w:jc w:val="both"/>
      </w:pPr>
    </w:p>
    <w:p w:rsidR="00EA1655" w:rsidRDefault="00D679FC" w:rsidP="00D67BA3">
      <w:pPr>
        <w:pStyle w:val="ListParagraph"/>
        <w:numPr>
          <w:ilvl w:val="0"/>
          <w:numId w:val="2"/>
        </w:numPr>
        <w:tabs>
          <w:tab w:val="left" w:pos="360"/>
          <w:tab w:val="left" w:pos="720"/>
          <w:tab w:val="left" w:pos="1080"/>
        </w:tabs>
        <w:contextualSpacing w:val="0"/>
        <w:jc w:val="both"/>
      </w:pPr>
      <w:r>
        <w:t>I</w:t>
      </w:r>
      <w:r w:rsidR="00575E4A" w:rsidRPr="00B62337">
        <w:t>nformed participation of patients</w:t>
      </w:r>
      <w:r>
        <w:t>.</w:t>
      </w:r>
      <w:r w:rsidR="00396066" w:rsidRPr="00B62337">
        <w:rPr>
          <w:rStyle w:val="EndnoteReference"/>
        </w:rPr>
        <w:endnoteReference w:id="19"/>
      </w:r>
      <w:r w:rsidR="00EA1655" w:rsidRPr="00EA1655">
        <w:t xml:space="preserve"> </w:t>
      </w:r>
    </w:p>
    <w:p w:rsidR="00EA1655" w:rsidRDefault="00EA1655" w:rsidP="00EA1655">
      <w:pPr>
        <w:tabs>
          <w:tab w:val="left" w:pos="360"/>
          <w:tab w:val="left" w:pos="720"/>
          <w:tab w:val="left" w:pos="1080"/>
        </w:tabs>
        <w:ind w:left="360"/>
        <w:jc w:val="both"/>
      </w:pPr>
    </w:p>
    <w:p w:rsidR="00EA1655" w:rsidRDefault="00EA36FE" w:rsidP="008C7DCA">
      <w:pPr>
        <w:tabs>
          <w:tab w:val="left" w:pos="360"/>
          <w:tab w:val="left" w:pos="720"/>
          <w:tab w:val="left" w:pos="1080"/>
        </w:tabs>
        <w:jc w:val="both"/>
      </w:pPr>
      <w:r w:rsidRPr="00B62337">
        <w:t xml:space="preserve">Improving the quality of care for people living with Alzheimer’s </w:t>
      </w:r>
      <w:r w:rsidR="002E464D">
        <w:t xml:space="preserve">disease </w:t>
      </w:r>
      <w:r w:rsidRPr="00B62337">
        <w:t xml:space="preserve">and </w:t>
      </w:r>
      <w:r w:rsidR="00800BEB">
        <w:t>related disorders</w:t>
      </w:r>
      <w:r w:rsidRPr="00B62337">
        <w:t xml:space="preserve"> is critical in Nevada and across the nation.  </w:t>
      </w:r>
      <w:r w:rsidR="003B27B4" w:rsidRPr="00B62337">
        <w:t>As the definition notes</w:t>
      </w:r>
      <w:r w:rsidR="005427D4">
        <w:t>,</w:t>
      </w:r>
      <w:r w:rsidR="003B27B4" w:rsidRPr="00B62337">
        <w:t xml:space="preserve"> quality care </w:t>
      </w:r>
      <w:r w:rsidR="00FB4AD5" w:rsidRPr="00B62337">
        <w:t>includes</w:t>
      </w:r>
      <w:r w:rsidR="00475121">
        <w:t xml:space="preserve">: </w:t>
      </w:r>
      <w:r w:rsidR="00FB4AD5" w:rsidRPr="00B62337">
        <w:t xml:space="preserve"> </w:t>
      </w:r>
      <w:r w:rsidR="003B27B4" w:rsidRPr="00B62337">
        <w:t xml:space="preserve">research, </w:t>
      </w:r>
      <w:r w:rsidR="00FB4AD5" w:rsidRPr="00B62337">
        <w:t xml:space="preserve">diagnostic services, </w:t>
      </w:r>
      <w:r w:rsidR="003B12A4" w:rsidRPr="00B62337">
        <w:t>residential and</w:t>
      </w:r>
      <w:r w:rsidR="001501EF" w:rsidRPr="00B62337">
        <w:t xml:space="preserve"> </w:t>
      </w:r>
      <w:r w:rsidR="003B12A4" w:rsidRPr="00B62337">
        <w:t>long-term</w:t>
      </w:r>
      <w:r w:rsidR="001501EF" w:rsidRPr="00B62337">
        <w:t xml:space="preserve"> </w:t>
      </w:r>
      <w:r w:rsidR="00FB4AD5" w:rsidRPr="00B62337">
        <w:t xml:space="preserve">care, and </w:t>
      </w:r>
      <w:r w:rsidR="001501EF" w:rsidRPr="00B62337">
        <w:t>well</w:t>
      </w:r>
      <w:r w:rsidR="005427D4">
        <w:t>-</w:t>
      </w:r>
      <w:r w:rsidR="00FB4AD5" w:rsidRPr="00B62337">
        <w:t xml:space="preserve">trained </w:t>
      </w:r>
      <w:r w:rsidR="001501EF" w:rsidRPr="00B62337">
        <w:t xml:space="preserve">residential and health care </w:t>
      </w:r>
      <w:r w:rsidR="00F308BD" w:rsidRPr="00B62337">
        <w:t>professionals.</w:t>
      </w:r>
      <w:r w:rsidR="00EA1655" w:rsidRPr="00EA1655">
        <w:t xml:space="preserve"> </w:t>
      </w:r>
    </w:p>
    <w:p w:rsidR="005C5C6E" w:rsidRDefault="005C5C6E" w:rsidP="008C7DCA">
      <w:pPr>
        <w:tabs>
          <w:tab w:val="left" w:pos="360"/>
          <w:tab w:val="left" w:pos="720"/>
          <w:tab w:val="left" w:pos="1080"/>
        </w:tabs>
        <w:jc w:val="both"/>
      </w:pPr>
    </w:p>
    <w:p w:rsidR="005C5C6E" w:rsidRPr="005C5C6E" w:rsidRDefault="005C5C6E" w:rsidP="005C5C6E">
      <w:pPr>
        <w:tabs>
          <w:tab w:val="left" w:pos="360"/>
          <w:tab w:val="left" w:pos="720"/>
          <w:tab w:val="left" w:pos="1080"/>
        </w:tabs>
        <w:jc w:val="both"/>
        <w:rPr>
          <w:iCs/>
          <w:u w:val="single"/>
        </w:rPr>
      </w:pPr>
      <w:r w:rsidRPr="005C5C6E">
        <w:rPr>
          <w:iCs/>
          <w:u w:val="single"/>
        </w:rPr>
        <w:t>Diagnostic Services</w:t>
      </w:r>
    </w:p>
    <w:p w:rsidR="005C5C6E" w:rsidRPr="005C5C6E" w:rsidRDefault="005C5C6E" w:rsidP="005C5C6E">
      <w:pPr>
        <w:tabs>
          <w:tab w:val="left" w:pos="360"/>
          <w:tab w:val="left" w:pos="720"/>
          <w:tab w:val="left" w:pos="1080"/>
        </w:tabs>
        <w:jc w:val="both"/>
        <w:rPr>
          <w:iCs/>
        </w:rPr>
      </w:pPr>
    </w:p>
    <w:p w:rsidR="005C5C6E" w:rsidRPr="005C5C6E" w:rsidRDefault="005C5C6E" w:rsidP="005C5C6E">
      <w:pPr>
        <w:tabs>
          <w:tab w:val="left" w:pos="360"/>
          <w:tab w:val="left" w:pos="720"/>
          <w:tab w:val="left" w:pos="1080"/>
        </w:tabs>
        <w:jc w:val="both"/>
      </w:pPr>
      <w:r w:rsidRPr="005C5C6E">
        <w:rPr>
          <w:iCs/>
        </w:rPr>
        <w:t>Quality care begins with increased detection and diagnosis of Alzheimer’s disease.  T</w:t>
      </w:r>
      <w:r w:rsidRPr="005C5C6E">
        <w:t>o address, and ultimately prevent, Alzheimer’s disease, three things are needed:  (1) an understanding of the disease process; (2) early detection; and (3) the advent of disease-modifying treatments.</w:t>
      </w:r>
      <w:r w:rsidRPr="005C5C6E">
        <w:rPr>
          <w:vertAlign w:val="superscript"/>
        </w:rPr>
        <w:endnoteReference w:id="20"/>
      </w:r>
      <w:r w:rsidRPr="005C5C6E">
        <w:t xml:space="preserve">  An early diagnosis of Alzheimer’s disease, with subsequent treatment, can help patients maintain functionality.  In addition, an early diagnosis aids individuals and their families in making plans for the future.  Testimony presented to the Task Force and information contained in the National Plan indicate that important developments in the use of imaging and biomarkers in brain, blood, and spinal fluids make it possible to identify the onset of Alzheimer’s disease, track its progression, and observe the effects of treatment in individuals with the disease.  These advances have shown that the brain changes that lead to Alzheimer’s disease begin up to ten years before symptoms.</w:t>
      </w:r>
      <w:r w:rsidRPr="005C5C6E">
        <w:rPr>
          <w:vertAlign w:val="superscript"/>
        </w:rPr>
        <w:endnoteReference w:id="21"/>
      </w:r>
      <w:r w:rsidRPr="005C5C6E">
        <w:t xml:space="preserve">  </w:t>
      </w:r>
    </w:p>
    <w:p w:rsidR="005C5C6E" w:rsidRPr="005C5C6E" w:rsidRDefault="005C5C6E" w:rsidP="005C5C6E">
      <w:pPr>
        <w:tabs>
          <w:tab w:val="left" w:pos="360"/>
          <w:tab w:val="left" w:pos="720"/>
          <w:tab w:val="left" w:pos="1080"/>
        </w:tabs>
        <w:jc w:val="both"/>
      </w:pPr>
    </w:p>
    <w:p w:rsidR="005C5C6E" w:rsidRPr="005C5C6E" w:rsidRDefault="005C5C6E" w:rsidP="005C5C6E">
      <w:pPr>
        <w:tabs>
          <w:tab w:val="left" w:pos="360"/>
          <w:tab w:val="left" w:pos="720"/>
          <w:tab w:val="left" w:pos="1080"/>
        </w:tabs>
        <w:jc w:val="both"/>
      </w:pPr>
      <w:r w:rsidRPr="005C5C6E">
        <w:t>Barriers to timely Alzheimer’s disease diagnosis include:  the lack of a single definitive test or screening method; the lack of or inadequate communication between health care providers and patients or caregivers; the expense and the lack of insurance coverage for diagnostic screening; and cultural barriers and social stigma that prevent people from seeking such a diagnosis.  The Task Force encourages leveraging direct care funding, such as Medicaid Annual Wellness Visits, to promote early detection and diagnosis.</w:t>
      </w:r>
    </w:p>
    <w:p w:rsidR="0099227E" w:rsidRDefault="0099227E" w:rsidP="00AB074D">
      <w:pPr>
        <w:tabs>
          <w:tab w:val="left" w:pos="360"/>
          <w:tab w:val="left" w:pos="720"/>
          <w:tab w:val="left" w:pos="1080"/>
        </w:tabs>
        <w:jc w:val="both"/>
        <w:rPr>
          <w:iCs/>
          <w:u w:val="single"/>
        </w:rPr>
      </w:pPr>
    </w:p>
    <w:p w:rsidR="00C91F38" w:rsidRPr="00B62337" w:rsidRDefault="000E7F72" w:rsidP="00AB074D">
      <w:pPr>
        <w:tabs>
          <w:tab w:val="left" w:pos="360"/>
          <w:tab w:val="left" w:pos="720"/>
          <w:tab w:val="left" w:pos="1080"/>
        </w:tabs>
        <w:jc w:val="both"/>
        <w:rPr>
          <w:iCs/>
          <w:u w:val="single"/>
        </w:rPr>
      </w:pPr>
      <w:r w:rsidRPr="00B62337">
        <w:rPr>
          <w:iCs/>
          <w:u w:val="single"/>
        </w:rPr>
        <w:t>Research</w:t>
      </w:r>
    </w:p>
    <w:p w:rsidR="00C91F38" w:rsidRPr="00B62337" w:rsidRDefault="00C91F38" w:rsidP="00AB074D">
      <w:pPr>
        <w:tabs>
          <w:tab w:val="left" w:pos="360"/>
          <w:tab w:val="left" w:pos="720"/>
          <w:tab w:val="left" w:pos="1080"/>
        </w:tabs>
        <w:jc w:val="both"/>
        <w:rPr>
          <w:iCs/>
          <w:u w:val="single"/>
        </w:rPr>
      </w:pPr>
    </w:p>
    <w:p w:rsidR="001F6306" w:rsidRPr="00B62337" w:rsidRDefault="003B12A4" w:rsidP="00AB074D">
      <w:pPr>
        <w:tabs>
          <w:tab w:val="left" w:pos="360"/>
          <w:tab w:val="left" w:pos="720"/>
          <w:tab w:val="left" w:pos="1080"/>
        </w:tabs>
        <w:jc w:val="both"/>
      </w:pPr>
      <w:r w:rsidRPr="00B62337">
        <w:t>According to the “National Plan to Address Alzheimer’s Disease</w:t>
      </w:r>
      <w:r w:rsidR="005427D4">
        <w:t>,</w:t>
      </w:r>
      <w:r w:rsidRPr="00B62337">
        <w:t>” produced by the U.S.</w:t>
      </w:r>
      <w:r w:rsidR="005427D4">
        <w:t> </w:t>
      </w:r>
      <w:r w:rsidRPr="00B62337">
        <w:t>Department of Health and Human Services</w:t>
      </w:r>
      <w:r w:rsidR="005427D4">
        <w:t>,</w:t>
      </w:r>
      <w:r w:rsidRPr="00B62337">
        <w:t xml:space="preserve"> research is a major area of interest and is necessary to increas</w:t>
      </w:r>
      <w:r w:rsidR="00475121">
        <w:t>ing</w:t>
      </w:r>
      <w:r w:rsidRPr="00B62337">
        <w:t xml:space="preserve"> the communit</w:t>
      </w:r>
      <w:r w:rsidR="004F41CC">
        <w:t>y</w:t>
      </w:r>
      <w:r w:rsidR="005427D4">
        <w:t>’</w:t>
      </w:r>
      <w:r w:rsidR="004F41CC">
        <w:t>s</w:t>
      </w:r>
      <w:r w:rsidRPr="00B62337">
        <w:t xml:space="preserve"> understanding of the causes, treatment, and prevention </w:t>
      </w:r>
      <w:r w:rsidRPr="00B62337">
        <w:lastRenderedPageBreak/>
        <w:t xml:space="preserve">of Alzheimer’s </w:t>
      </w:r>
      <w:r w:rsidR="002E464D">
        <w:t>d</w:t>
      </w:r>
      <w:r w:rsidRPr="00B62337">
        <w:t xml:space="preserve">isease.  </w:t>
      </w:r>
      <w:r w:rsidR="00D67970" w:rsidRPr="00B62337">
        <w:t xml:space="preserve">The two primary strategies directly related to research in the </w:t>
      </w:r>
      <w:r w:rsidRPr="00B62337">
        <w:t>plan include</w:t>
      </w:r>
      <w:r w:rsidR="00475121">
        <w:t>:  (1)</w:t>
      </w:r>
      <w:r w:rsidR="00D67970" w:rsidRPr="00B62337">
        <w:t xml:space="preserve"> the identification of research priorities and milestones</w:t>
      </w:r>
      <w:r w:rsidR="004E6571">
        <w:t>;</w:t>
      </w:r>
      <w:r w:rsidR="00D67970" w:rsidRPr="00B62337">
        <w:t xml:space="preserve"> and </w:t>
      </w:r>
      <w:r w:rsidR="00704A52">
        <w:t xml:space="preserve">(2) </w:t>
      </w:r>
      <w:r w:rsidR="00D67970" w:rsidRPr="00B62337">
        <w:t xml:space="preserve">expanding research aimed at preventing and treating Alzheimer’s </w:t>
      </w:r>
      <w:r w:rsidR="002E464D">
        <w:t>d</w:t>
      </w:r>
      <w:r w:rsidR="00D67970" w:rsidRPr="00B62337">
        <w:t xml:space="preserve">isease.  </w:t>
      </w:r>
      <w:r w:rsidRPr="00B62337">
        <w:t>Private nonprofit entities, organizations, foundations, and the federal government fund Alzheimer</w:t>
      </w:r>
      <w:r w:rsidR="005427D4">
        <w:t>’s</w:t>
      </w:r>
      <w:r w:rsidRPr="00B62337">
        <w:t xml:space="preserve"> research</w:t>
      </w:r>
      <w:r w:rsidR="001F6306" w:rsidRPr="00B62337">
        <w:t>.  The</w:t>
      </w:r>
      <w:r w:rsidR="00704A52">
        <w:t> </w:t>
      </w:r>
      <w:r w:rsidR="001F6306" w:rsidRPr="00B62337">
        <w:t>primary source</w:t>
      </w:r>
      <w:r w:rsidR="00704A52">
        <w:t>s</w:t>
      </w:r>
      <w:r w:rsidR="001F6306" w:rsidRPr="00B62337">
        <w:t xml:space="preserve"> of government funding </w:t>
      </w:r>
      <w:r w:rsidR="00704A52">
        <w:t xml:space="preserve">include: </w:t>
      </w:r>
      <w:r w:rsidR="00FD63D6" w:rsidRPr="00B62337">
        <w:t xml:space="preserve"> the National Institute on Aging</w:t>
      </w:r>
      <w:r w:rsidRPr="00B62337">
        <w:t>, National</w:t>
      </w:r>
      <w:r w:rsidR="00FD63D6" w:rsidRPr="00B62337">
        <w:t xml:space="preserve"> Ins</w:t>
      </w:r>
      <w:r w:rsidR="002117FD" w:rsidRPr="00B62337">
        <w:t>titute</w:t>
      </w:r>
      <w:r w:rsidR="005427D4">
        <w:t>s</w:t>
      </w:r>
      <w:r w:rsidR="002117FD" w:rsidRPr="00B62337">
        <w:t xml:space="preserve"> </w:t>
      </w:r>
      <w:r w:rsidR="00FD63D6" w:rsidRPr="00B62337">
        <w:t>of</w:t>
      </w:r>
      <w:r w:rsidR="005427D4">
        <w:t> </w:t>
      </w:r>
      <w:r w:rsidR="00FD63D6" w:rsidRPr="00B62337">
        <w:t xml:space="preserve">Health, </w:t>
      </w:r>
      <w:r w:rsidR="008C0F66">
        <w:t xml:space="preserve">and the </w:t>
      </w:r>
      <w:r w:rsidR="00FD63D6" w:rsidRPr="00B62337">
        <w:t xml:space="preserve">U.S. </w:t>
      </w:r>
      <w:r w:rsidR="002117FD" w:rsidRPr="00B62337">
        <w:t>Department</w:t>
      </w:r>
      <w:r w:rsidR="00FD63D6" w:rsidRPr="00B62337">
        <w:t xml:space="preserve"> of </w:t>
      </w:r>
      <w:r w:rsidR="002117FD" w:rsidRPr="00B62337">
        <w:t>Health</w:t>
      </w:r>
      <w:r w:rsidR="00FD63D6" w:rsidRPr="00B62337">
        <w:t xml:space="preserve"> and Hu</w:t>
      </w:r>
      <w:r w:rsidR="002117FD" w:rsidRPr="00B62337">
        <w:t xml:space="preserve">man Services.  </w:t>
      </w:r>
      <w:r w:rsidRPr="00B62337">
        <w:t>Below is a</w:t>
      </w:r>
      <w:r w:rsidR="00FB2747">
        <w:t> </w:t>
      </w:r>
      <w:r w:rsidRPr="00B62337">
        <w:t xml:space="preserve">chart, published February 13, 2012, outlining the annual support level for Alzheimer’s </w:t>
      </w:r>
      <w:r w:rsidR="008C0F66">
        <w:t>d</w:t>
      </w:r>
      <w:r w:rsidRPr="00B62337">
        <w:t>isease</w:t>
      </w:r>
      <w:r w:rsidR="00454580">
        <w:noBreakHyphen/>
      </w:r>
      <w:r w:rsidRPr="00B62337">
        <w:t>related research based on grants, contracts, and other funding mechanisms used across the National Institute</w:t>
      </w:r>
      <w:r w:rsidR="005427D4">
        <w:t>s</w:t>
      </w:r>
      <w:r w:rsidRPr="00B62337">
        <w:t xml:space="preserve"> of Health: </w:t>
      </w:r>
    </w:p>
    <w:p w:rsidR="00454580" w:rsidRDefault="00454580"/>
    <w:tbl>
      <w:tblPr>
        <w:tblStyle w:val="TableGrid"/>
        <w:tblW w:w="5053" w:type="pct"/>
        <w:shd w:val="clear" w:color="auto" w:fill="FFFFFF" w:themeFill="background1"/>
        <w:tblLayout w:type="fixed"/>
        <w:tblCellMar>
          <w:left w:w="72" w:type="dxa"/>
          <w:right w:w="72" w:type="dxa"/>
        </w:tblCellMar>
        <w:tblLook w:val="04A0"/>
      </w:tblPr>
      <w:tblGrid>
        <w:gridCol w:w="1055"/>
        <w:gridCol w:w="1070"/>
        <w:gridCol w:w="1070"/>
        <w:gridCol w:w="1070"/>
        <w:gridCol w:w="1070"/>
        <w:gridCol w:w="1068"/>
        <w:gridCol w:w="1068"/>
        <w:gridCol w:w="1068"/>
        <w:gridCol w:w="1066"/>
      </w:tblGrid>
      <w:tr w:rsidR="008628D4" w:rsidRPr="00454580" w:rsidTr="00FB3BCF">
        <w:trPr>
          <w:trHeight w:val="727"/>
        </w:trPr>
        <w:tc>
          <w:tcPr>
            <w:tcW w:w="5000" w:type="pct"/>
            <w:gridSpan w:val="9"/>
            <w:shd w:val="clear" w:color="auto" w:fill="D9D9D9" w:themeFill="background1" w:themeFillShade="D9"/>
            <w:vAlign w:val="center"/>
          </w:tcPr>
          <w:p w:rsidR="008628D4" w:rsidRDefault="00A730F9" w:rsidP="00C8701C">
            <w:pPr>
              <w:jc w:val="center"/>
              <w:rPr>
                <w:rFonts w:eastAsiaTheme="majorEastAsia"/>
                <w:b/>
                <w:bCs/>
                <w:sz w:val="20"/>
                <w:szCs w:val="20"/>
              </w:rPr>
            </w:pPr>
            <w:r w:rsidRPr="006C3E0D">
              <w:rPr>
                <w:rFonts w:eastAsiaTheme="majorEastAsia"/>
                <w:b/>
                <w:bCs/>
                <w:sz w:val="20"/>
                <w:szCs w:val="20"/>
              </w:rPr>
              <w:t>National Institutes of Health</w:t>
            </w:r>
            <w:r w:rsidR="00C8701C">
              <w:rPr>
                <w:rFonts w:eastAsiaTheme="majorEastAsia"/>
                <w:b/>
                <w:bCs/>
                <w:sz w:val="20"/>
                <w:szCs w:val="20"/>
              </w:rPr>
              <w:t xml:space="preserve"> </w:t>
            </w:r>
            <w:r w:rsidRPr="006C3E0D">
              <w:rPr>
                <w:rFonts w:eastAsiaTheme="majorEastAsia"/>
                <w:b/>
                <w:bCs/>
                <w:sz w:val="20"/>
                <w:szCs w:val="20"/>
              </w:rPr>
              <w:t>Alzheimer’s Disease Related Research Funding</w:t>
            </w:r>
          </w:p>
          <w:p w:rsidR="007727EE" w:rsidRPr="00454580" w:rsidRDefault="007727EE" w:rsidP="00C8701C">
            <w:pPr>
              <w:jc w:val="center"/>
              <w:rPr>
                <w:rFonts w:eastAsiaTheme="majorEastAsia"/>
                <w:bCs/>
                <w:sz w:val="18"/>
                <w:szCs w:val="18"/>
              </w:rPr>
            </w:pPr>
            <w:r w:rsidRPr="00505F75">
              <w:rPr>
                <w:rFonts w:eastAsiaTheme="majorEastAsia"/>
                <w:b/>
                <w:bCs/>
                <w:sz w:val="18"/>
                <w:szCs w:val="18"/>
              </w:rPr>
              <w:t>(Dollars</w:t>
            </w:r>
            <w:r>
              <w:rPr>
                <w:rFonts w:eastAsiaTheme="majorEastAsia"/>
                <w:b/>
                <w:bCs/>
                <w:sz w:val="18"/>
                <w:szCs w:val="18"/>
              </w:rPr>
              <w:t xml:space="preserve"> </w:t>
            </w:r>
            <w:r w:rsidRPr="00505F75">
              <w:rPr>
                <w:rFonts w:eastAsiaTheme="majorEastAsia"/>
                <w:b/>
                <w:bCs/>
                <w:sz w:val="18"/>
                <w:szCs w:val="18"/>
              </w:rPr>
              <w:t>in millions and rounded)</w:t>
            </w:r>
          </w:p>
        </w:tc>
      </w:tr>
      <w:tr w:rsidR="001C6174" w:rsidRPr="00454580" w:rsidTr="00FB3BCF">
        <w:trPr>
          <w:trHeight w:val="808"/>
        </w:trPr>
        <w:tc>
          <w:tcPr>
            <w:tcW w:w="549" w:type="pct"/>
            <w:shd w:val="clear" w:color="auto" w:fill="FFFFFF" w:themeFill="background1"/>
          </w:tcPr>
          <w:p w:rsidR="001F6306" w:rsidRPr="00505F75" w:rsidRDefault="001F6306" w:rsidP="007727EE">
            <w:pPr>
              <w:jc w:val="center"/>
              <w:rPr>
                <w:b/>
                <w:bCs/>
                <w:sz w:val="18"/>
                <w:szCs w:val="18"/>
              </w:rPr>
            </w:pPr>
            <w:r w:rsidRPr="00505F75">
              <w:rPr>
                <w:rStyle w:val="Strong"/>
                <w:sz w:val="18"/>
                <w:szCs w:val="18"/>
                <w:u w:val="single"/>
              </w:rPr>
              <w:t>Research/</w:t>
            </w:r>
            <w:r w:rsidR="007727EE">
              <w:rPr>
                <w:rStyle w:val="Strong"/>
                <w:sz w:val="18"/>
                <w:szCs w:val="18"/>
                <w:u w:val="single"/>
              </w:rPr>
              <w:t xml:space="preserve"> </w:t>
            </w:r>
            <w:r w:rsidRPr="00505F75">
              <w:rPr>
                <w:rStyle w:val="Strong"/>
                <w:sz w:val="18"/>
                <w:szCs w:val="18"/>
                <w:u w:val="single"/>
              </w:rPr>
              <w:t>Dise</w:t>
            </w:r>
            <w:r w:rsidR="00FB475F" w:rsidRPr="00505F75">
              <w:rPr>
                <w:rStyle w:val="Strong"/>
                <w:sz w:val="18"/>
                <w:szCs w:val="18"/>
                <w:u w:val="single"/>
              </w:rPr>
              <w:t>ase Area</w:t>
            </w:r>
          </w:p>
        </w:tc>
        <w:tc>
          <w:tcPr>
            <w:tcW w:w="557" w:type="pct"/>
            <w:shd w:val="clear" w:color="auto" w:fill="FFFFFF" w:themeFill="background1"/>
          </w:tcPr>
          <w:p w:rsidR="001F6306" w:rsidRPr="00505F75" w:rsidRDefault="0080326E" w:rsidP="007727EE">
            <w:pPr>
              <w:jc w:val="center"/>
              <w:rPr>
                <w:b/>
                <w:bCs/>
                <w:sz w:val="18"/>
                <w:szCs w:val="18"/>
              </w:rPr>
            </w:pPr>
            <w:hyperlink r:id="rId21" w:history="1">
              <w:r w:rsidR="007727EE" w:rsidRPr="00505F75">
                <w:rPr>
                  <w:rStyle w:val="Hyperlink"/>
                  <w:rFonts w:eastAsiaTheme="majorEastAsia"/>
                  <w:b/>
                  <w:bCs/>
                  <w:color w:val="auto"/>
                  <w:sz w:val="18"/>
                  <w:szCs w:val="18"/>
                  <w:u w:val="none"/>
                </w:rPr>
                <w:t xml:space="preserve">FY </w:t>
              </w:r>
              <w:r w:rsidR="007727EE" w:rsidRPr="00505F75">
                <w:rPr>
                  <w:rStyle w:val="Hyperlink"/>
                  <w:rFonts w:eastAsiaTheme="majorEastAsia"/>
                  <w:b/>
                  <w:bCs/>
                  <w:color w:val="auto"/>
                  <w:sz w:val="18"/>
                  <w:szCs w:val="18"/>
                </w:rPr>
                <w:t>2008</w:t>
              </w:r>
              <w:r w:rsidR="007727EE" w:rsidRPr="00505F75">
                <w:rPr>
                  <w:rStyle w:val="smalltext"/>
                  <w:b/>
                  <w:bCs/>
                  <w:sz w:val="18"/>
                  <w:szCs w:val="18"/>
                  <w:u w:val="single"/>
                </w:rPr>
                <w:t>Actual</w:t>
              </w:r>
            </w:hyperlink>
          </w:p>
        </w:tc>
        <w:tc>
          <w:tcPr>
            <w:tcW w:w="557" w:type="pct"/>
            <w:shd w:val="clear" w:color="auto" w:fill="FFFFFF" w:themeFill="background1"/>
          </w:tcPr>
          <w:p w:rsidR="001F6306" w:rsidRPr="00505F75" w:rsidRDefault="0080326E" w:rsidP="007727EE">
            <w:pPr>
              <w:jc w:val="center"/>
              <w:rPr>
                <w:b/>
                <w:bCs/>
                <w:sz w:val="18"/>
                <w:szCs w:val="18"/>
              </w:rPr>
            </w:pPr>
            <w:hyperlink r:id="rId22" w:history="1">
              <w:r w:rsidR="001F6306" w:rsidRPr="00505F75">
                <w:rPr>
                  <w:rStyle w:val="Hyperlink"/>
                  <w:rFonts w:eastAsiaTheme="majorEastAsia"/>
                  <w:b/>
                  <w:bCs/>
                  <w:color w:val="auto"/>
                  <w:sz w:val="18"/>
                  <w:szCs w:val="18"/>
                  <w:u w:val="none"/>
                </w:rPr>
                <w:t xml:space="preserve">FY </w:t>
              </w:r>
              <w:r w:rsidR="001F6306" w:rsidRPr="00505F75">
                <w:rPr>
                  <w:rStyle w:val="Hyperlink"/>
                  <w:rFonts w:eastAsiaTheme="majorEastAsia"/>
                  <w:b/>
                  <w:bCs/>
                  <w:color w:val="auto"/>
                  <w:sz w:val="18"/>
                  <w:szCs w:val="18"/>
                </w:rPr>
                <w:t>2009</w:t>
              </w:r>
              <w:r w:rsidR="001F6306" w:rsidRPr="00505F75">
                <w:rPr>
                  <w:rStyle w:val="smalltext"/>
                  <w:b/>
                  <w:bCs/>
                  <w:sz w:val="18"/>
                  <w:szCs w:val="18"/>
                  <w:u w:val="single"/>
                </w:rPr>
                <w:t>Actual</w:t>
              </w:r>
              <w:r w:rsidR="001F6306" w:rsidRPr="00505F75">
                <w:rPr>
                  <w:rStyle w:val="smalltext"/>
                  <w:b/>
                  <w:bCs/>
                  <w:sz w:val="18"/>
                  <w:szCs w:val="18"/>
                </w:rPr>
                <w:t>(Non-ARRA)</w:t>
              </w:r>
            </w:hyperlink>
          </w:p>
        </w:tc>
        <w:tc>
          <w:tcPr>
            <w:tcW w:w="557" w:type="pct"/>
            <w:shd w:val="clear" w:color="auto" w:fill="FFFFFF" w:themeFill="background1"/>
          </w:tcPr>
          <w:p w:rsidR="001A678F" w:rsidRPr="001A678F" w:rsidRDefault="0080326E" w:rsidP="001A678F">
            <w:pPr>
              <w:jc w:val="center"/>
              <w:rPr>
                <w:rStyle w:val="smalltext"/>
                <w:b/>
                <w:bCs/>
                <w:sz w:val="8"/>
                <w:szCs w:val="8"/>
              </w:rPr>
            </w:pPr>
            <w:hyperlink r:id="rId23" w:history="1">
              <w:r w:rsidR="001F6306" w:rsidRPr="00505F75">
                <w:rPr>
                  <w:rStyle w:val="Hyperlink"/>
                  <w:rFonts w:eastAsiaTheme="majorEastAsia"/>
                  <w:b/>
                  <w:bCs/>
                  <w:color w:val="auto"/>
                  <w:sz w:val="18"/>
                  <w:szCs w:val="18"/>
                  <w:u w:val="none"/>
                </w:rPr>
                <w:t xml:space="preserve">FY </w:t>
              </w:r>
              <w:r w:rsidR="001F6306" w:rsidRPr="00505F75">
                <w:rPr>
                  <w:rStyle w:val="Hyperlink"/>
                  <w:rFonts w:eastAsiaTheme="majorEastAsia"/>
                  <w:b/>
                  <w:bCs/>
                  <w:color w:val="auto"/>
                  <w:sz w:val="18"/>
                  <w:szCs w:val="18"/>
                </w:rPr>
                <w:t>2009</w:t>
              </w:r>
              <w:r w:rsidR="001F6306" w:rsidRPr="00505F75">
                <w:rPr>
                  <w:rStyle w:val="smalltext"/>
                  <w:b/>
                  <w:bCs/>
                  <w:sz w:val="18"/>
                  <w:szCs w:val="18"/>
                  <w:u w:val="single"/>
                </w:rPr>
                <w:t>Actual</w:t>
              </w:r>
              <w:r w:rsidR="001F6306" w:rsidRPr="00505F75">
                <w:rPr>
                  <w:b/>
                  <w:bCs/>
                  <w:sz w:val="18"/>
                  <w:szCs w:val="18"/>
                  <w:u w:val="single"/>
                </w:rPr>
                <w:br/>
              </w:r>
            </w:hyperlink>
          </w:p>
          <w:p w:rsidR="001F6306" w:rsidRPr="00505F75" w:rsidRDefault="001A678F" w:rsidP="001A678F">
            <w:pPr>
              <w:jc w:val="center"/>
              <w:rPr>
                <w:b/>
                <w:bCs/>
                <w:sz w:val="18"/>
                <w:szCs w:val="18"/>
              </w:rPr>
            </w:pPr>
            <w:r>
              <w:rPr>
                <w:rStyle w:val="smalltext"/>
                <w:b/>
                <w:bCs/>
                <w:sz w:val="18"/>
                <w:szCs w:val="18"/>
              </w:rPr>
              <w:t>(ARRA)</w:t>
            </w:r>
          </w:p>
        </w:tc>
        <w:tc>
          <w:tcPr>
            <w:tcW w:w="557" w:type="pct"/>
            <w:shd w:val="clear" w:color="auto" w:fill="FFFFFF" w:themeFill="background1"/>
          </w:tcPr>
          <w:p w:rsidR="001F6306" w:rsidRPr="00505F75" w:rsidRDefault="0080326E" w:rsidP="007727EE">
            <w:pPr>
              <w:jc w:val="center"/>
              <w:rPr>
                <w:b/>
                <w:bCs/>
                <w:sz w:val="18"/>
                <w:szCs w:val="18"/>
              </w:rPr>
            </w:pPr>
            <w:hyperlink r:id="rId24" w:history="1">
              <w:r w:rsidR="001F6306" w:rsidRPr="00505F75">
                <w:rPr>
                  <w:rStyle w:val="Hyperlink"/>
                  <w:rFonts w:eastAsiaTheme="majorEastAsia"/>
                  <w:b/>
                  <w:bCs/>
                  <w:color w:val="auto"/>
                  <w:sz w:val="18"/>
                  <w:szCs w:val="18"/>
                  <w:u w:val="none"/>
                </w:rPr>
                <w:t xml:space="preserve">FY </w:t>
              </w:r>
              <w:r w:rsidR="001F6306" w:rsidRPr="00505F75">
                <w:rPr>
                  <w:rStyle w:val="Hyperlink"/>
                  <w:rFonts w:eastAsiaTheme="majorEastAsia"/>
                  <w:b/>
                  <w:bCs/>
                  <w:color w:val="auto"/>
                  <w:sz w:val="18"/>
                  <w:szCs w:val="18"/>
                </w:rPr>
                <w:t>2010</w:t>
              </w:r>
              <w:r w:rsidR="001F6306" w:rsidRPr="00505F75">
                <w:rPr>
                  <w:rStyle w:val="smalltext"/>
                  <w:b/>
                  <w:bCs/>
                  <w:sz w:val="18"/>
                  <w:szCs w:val="18"/>
                  <w:u w:val="single"/>
                </w:rPr>
                <w:t>Actual</w:t>
              </w:r>
              <w:r w:rsidR="001F6306" w:rsidRPr="00505F75">
                <w:rPr>
                  <w:b/>
                  <w:bCs/>
                  <w:sz w:val="18"/>
                  <w:szCs w:val="18"/>
                  <w:u w:val="single"/>
                </w:rPr>
                <w:br/>
              </w:r>
              <w:r w:rsidR="001F6306" w:rsidRPr="00505F75">
                <w:rPr>
                  <w:rStyle w:val="smalltext"/>
                  <w:b/>
                  <w:bCs/>
                  <w:sz w:val="18"/>
                  <w:szCs w:val="18"/>
                </w:rPr>
                <w:t>(Non-ARRA)</w:t>
              </w:r>
            </w:hyperlink>
          </w:p>
        </w:tc>
        <w:tc>
          <w:tcPr>
            <w:tcW w:w="556" w:type="pct"/>
            <w:shd w:val="clear" w:color="auto" w:fill="FFFFFF" w:themeFill="background1"/>
          </w:tcPr>
          <w:p w:rsidR="001F6306" w:rsidRPr="001A678F" w:rsidRDefault="0080326E" w:rsidP="001A678F">
            <w:pPr>
              <w:jc w:val="center"/>
              <w:rPr>
                <w:rStyle w:val="smalltext"/>
                <w:b/>
                <w:bCs/>
                <w:sz w:val="8"/>
                <w:szCs w:val="8"/>
              </w:rPr>
            </w:pPr>
            <w:hyperlink r:id="rId25" w:history="1">
              <w:r w:rsidR="001F6306" w:rsidRPr="00505F75">
                <w:rPr>
                  <w:rStyle w:val="Hyperlink"/>
                  <w:rFonts w:eastAsiaTheme="majorEastAsia"/>
                  <w:b/>
                  <w:bCs/>
                  <w:color w:val="auto"/>
                  <w:sz w:val="18"/>
                  <w:szCs w:val="18"/>
                  <w:u w:val="none"/>
                </w:rPr>
                <w:t>FY</w:t>
              </w:r>
              <w:r w:rsidR="001F6306" w:rsidRPr="00505F75">
                <w:rPr>
                  <w:rStyle w:val="Hyperlink"/>
                  <w:rFonts w:eastAsiaTheme="majorEastAsia"/>
                  <w:b/>
                  <w:bCs/>
                  <w:color w:val="auto"/>
                  <w:sz w:val="18"/>
                  <w:szCs w:val="18"/>
                </w:rPr>
                <w:t xml:space="preserve"> 2010</w:t>
              </w:r>
              <w:r w:rsidR="001F6306" w:rsidRPr="00505F75">
                <w:rPr>
                  <w:rStyle w:val="smalltext"/>
                  <w:b/>
                  <w:bCs/>
                  <w:sz w:val="18"/>
                  <w:szCs w:val="18"/>
                  <w:u w:val="single"/>
                </w:rPr>
                <w:t>Actual</w:t>
              </w:r>
              <w:r w:rsidR="001F6306" w:rsidRPr="00505F75">
                <w:rPr>
                  <w:b/>
                  <w:bCs/>
                  <w:sz w:val="18"/>
                  <w:szCs w:val="18"/>
                  <w:u w:val="single"/>
                </w:rPr>
                <w:br/>
              </w:r>
            </w:hyperlink>
          </w:p>
          <w:p w:rsidR="001A678F" w:rsidRPr="00505F75" w:rsidRDefault="001A678F" w:rsidP="001A678F">
            <w:pPr>
              <w:jc w:val="center"/>
              <w:rPr>
                <w:b/>
                <w:bCs/>
                <w:sz w:val="18"/>
                <w:szCs w:val="18"/>
              </w:rPr>
            </w:pPr>
            <w:r>
              <w:rPr>
                <w:rStyle w:val="smalltext"/>
                <w:b/>
                <w:bCs/>
                <w:sz w:val="18"/>
                <w:szCs w:val="18"/>
              </w:rPr>
              <w:t>(ARRA)</w:t>
            </w:r>
          </w:p>
        </w:tc>
        <w:tc>
          <w:tcPr>
            <w:tcW w:w="556" w:type="pct"/>
            <w:shd w:val="clear" w:color="auto" w:fill="FFFFFF" w:themeFill="background1"/>
          </w:tcPr>
          <w:p w:rsidR="001F6306" w:rsidRPr="00505F75" w:rsidRDefault="0080326E" w:rsidP="002F6112">
            <w:pPr>
              <w:jc w:val="center"/>
              <w:rPr>
                <w:b/>
                <w:bCs/>
                <w:sz w:val="18"/>
                <w:szCs w:val="18"/>
              </w:rPr>
            </w:pPr>
            <w:hyperlink r:id="rId26" w:history="1">
              <w:r w:rsidR="001F6306" w:rsidRPr="00505F75">
                <w:rPr>
                  <w:rStyle w:val="Hyperlink"/>
                  <w:rFonts w:eastAsiaTheme="majorEastAsia"/>
                  <w:b/>
                  <w:bCs/>
                  <w:color w:val="auto"/>
                  <w:sz w:val="18"/>
                  <w:szCs w:val="18"/>
                  <w:u w:val="none"/>
                </w:rPr>
                <w:t>FY</w:t>
              </w:r>
              <w:r w:rsidR="001F6306" w:rsidRPr="00505F75">
                <w:rPr>
                  <w:rStyle w:val="Hyperlink"/>
                  <w:rFonts w:eastAsiaTheme="majorEastAsia"/>
                  <w:b/>
                  <w:bCs/>
                  <w:color w:val="auto"/>
                  <w:sz w:val="18"/>
                  <w:szCs w:val="18"/>
                </w:rPr>
                <w:t xml:space="preserve"> 2011</w:t>
              </w:r>
              <w:r w:rsidR="001F6306" w:rsidRPr="00505F75">
                <w:rPr>
                  <w:rStyle w:val="smalltext"/>
                  <w:b/>
                  <w:bCs/>
                  <w:sz w:val="18"/>
                  <w:szCs w:val="18"/>
                  <w:u w:val="single"/>
                </w:rPr>
                <w:t>Actual</w:t>
              </w:r>
            </w:hyperlink>
          </w:p>
        </w:tc>
        <w:tc>
          <w:tcPr>
            <w:tcW w:w="556" w:type="pct"/>
            <w:shd w:val="clear" w:color="auto" w:fill="FFFFFF" w:themeFill="background1"/>
          </w:tcPr>
          <w:p w:rsidR="00D67970" w:rsidRPr="00505F75" w:rsidRDefault="001F6306" w:rsidP="002F6112">
            <w:pPr>
              <w:jc w:val="center"/>
              <w:rPr>
                <w:rFonts w:eastAsiaTheme="majorEastAsia"/>
                <w:b/>
                <w:bCs/>
                <w:sz w:val="18"/>
                <w:szCs w:val="18"/>
              </w:rPr>
            </w:pPr>
            <w:r w:rsidRPr="00505F75">
              <w:rPr>
                <w:rFonts w:eastAsiaTheme="majorEastAsia"/>
                <w:b/>
                <w:bCs/>
                <w:sz w:val="18"/>
                <w:szCs w:val="18"/>
              </w:rPr>
              <w:t>FY 2012</w:t>
            </w:r>
          </w:p>
          <w:p w:rsidR="00FB3BCF" w:rsidRDefault="00FB3BCF" w:rsidP="002F6112">
            <w:pPr>
              <w:jc w:val="center"/>
              <w:rPr>
                <w:rStyle w:val="smalltext"/>
                <w:b/>
                <w:bCs/>
                <w:sz w:val="18"/>
                <w:szCs w:val="18"/>
                <w:u w:val="single"/>
              </w:rPr>
            </w:pPr>
          </w:p>
          <w:p w:rsidR="001F6306" w:rsidRPr="00505F75" w:rsidRDefault="00FB3BCF" w:rsidP="002F6112">
            <w:pPr>
              <w:jc w:val="center"/>
              <w:rPr>
                <w:b/>
                <w:bCs/>
                <w:sz w:val="18"/>
                <w:szCs w:val="18"/>
              </w:rPr>
            </w:pPr>
            <w:r>
              <w:rPr>
                <w:rStyle w:val="smalltext"/>
                <w:b/>
                <w:bCs/>
                <w:sz w:val="18"/>
                <w:szCs w:val="18"/>
                <w:u w:val="single"/>
              </w:rPr>
              <w:t>2012Actual</w:t>
            </w:r>
          </w:p>
        </w:tc>
        <w:tc>
          <w:tcPr>
            <w:tcW w:w="555" w:type="pct"/>
            <w:shd w:val="clear" w:color="auto" w:fill="FFFFFF" w:themeFill="background1"/>
          </w:tcPr>
          <w:p w:rsidR="00FB3BCF" w:rsidRDefault="001F6306" w:rsidP="00FB3BCF">
            <w:pPr>
              <w:jc w:val="center"/>
              <w:rPr>
                <w:rStyle w:val="smalltext"/>
                <w:b/>
                <w:bCs/>
                <w:sz w:val="18"/>
                <w:szCs w:val="18"/>
                <w:u w:val="single"/>
              </w:rPr>
            </w:pPr>
            <w:r w:rsidRPr="00505F75">
              <w:rPr>
                <w:rFonts w:eastAsiaTheme="majorEastAsia"/>
                <w:b/>
                <w:bCs/>
                <w:sz w:val="18"/>
                <w:szCs w:val="18"/>
              </w:rPr>
              <w:t>FY 2013</w:t>
            </w:r>
            <w:r w:rsidR="007727EE">
              <w:rPr>
                <w:rFonts w:eastAsiaTheme="majorEastAsia"/>
                <w:b/>
                <w:bCs/>
                <w:sz w:val="18"/>
                <w:szCs w:val="18"/>
              </w:rPr>
              <w:t xml:space="preserve"> </w:t>
            </w:r>
          </w:p>
          <w:p w:rsidR="001F6306" w:rsidRPr="00505F75" w:rsidRDefault="00FB3BCF" w:rsidP="00FB3BCF">
            <w:pPr>
              <w:jc w:val="center"/>
              <w:rPr>
                <w:b/>
                <w:bCs/>
                <w:sz w:val="18"/>
                <w:szCs w:val="18"/>
              </w:rPr>
            </w:pPr>
            <w:r>
              <w:rPr>
                <w:rStyle w:val="smalltext"/>
                <w:b/>
                <w:bCs/>
                <w:sz w:val="18"/>
                <w:szCs w:val="18"/>
                <w:u w:val="single"/>
              </w:rPr>
              <w:t>2013Actual</w:t>
            </w:r>
          </w:p>
        </w:tc>
      </w:tr>
      <w:tr w:rsidR="001C6174" w:rsidRPr="00454580" w:rsidTr="00FB3BCF">
        <w:trPr>
          <w:trHeight w:val="528"/>
        </w:trPr>
        <w:tc>
          <w:tcPr>
            <w:tcW w:w="549" w:type="pct"/>
            <w:shd w:val="clear" w:color="auto" w:fill="FFFFFF" w:themeFill="background1"/>
            <w:vAlign w:val="center"/>
          </w:tcPr>
          <w:p w:rsidR="001F6306" w:rsidRPr="00454580" w:rsidRDefault="001F6306" w:rsidP="007727EE">
            <w:pPr>
              <w:jc w:val="center"/>
              <w:rPr>
                <w:sz w:val="18"/>
                <w:szCs w:val="18"/>
              </w:rPr>
            </w:pPr>
            <w:r w:rsidRPr="00454580">
              <w:rPr>
                <w:sz w:val="18"/>
                <w:szCs w:val="18"/>
              </w:rPr>
              <w:t>Alzheimer</w:t>
            </w:r>
            <w:r w:rsidR="002F6112" w:rsidRPr="00454580">
              <w:rPr>
                <w:sz w:val="18"/>
                <w:szCs w:val="18"/>
              </w:rPr>
              <w:t>’s</w:t>
            </w:r>
            <w:r w:rsidRPr="00454580">
              <w:rPr>
                <w:sz w:val="18"/>
                <w:szCs w:val="18"/>
              </w:rPr>
              <w:t xml:space="preserve"> Disease</w:t>
            </w:r>
          </w:p>
        </w:tc>
        <w:tc>
          <w:tcPr>
            <w:tcW w:w="557" w:type="pct"/>
            <w:shd w:val="clear" w:color="auto" w:fill="FFFFFF" w:themeFill="background1"/>
            <w:vAlign w:val="center"/>
          </w:tcPr>
          <w:p w:rsidR="001F6306" w:rsidRPr="003D7C77" w:rsidRDefault="0080326E" w:rsidP="002F6112">
            <w:pPr>
              <w:jc w:val="center"/>
              <w:rPr>
                <w:sz w:val="18"/>
                <w:szCs w:val="18"/>
              </w:rPr>
            </w:pPr>
            <w:hyperlink r:id="rId27" w:tooltip="FY 2008 Actual $412M. Click here to get the detailed project listing" w:history="1">
              <w:r w:rsidR="001F6306" w:rsidRPr="003D7C77">
                <w:rPr>
                  <w:sz w:val="18"/>
                  <w:szCs w:val="18"/>
                </w:rPr>
                <w:t>$412</w:t>
              </w:r>
            </w:hyperlink>
          </w:p>
        </w:tc>
        <w:tc>
          <w:tcPr>
            <w:tcW w:w="557" w:type="pct"/>
            <w:shd w:val="clear" w:color="auto" w:fill="FFFFFF" w:themeFill="background1"/>
            <w:vAlign w:val="center"/>
          </w:tcPr>
          <w:p w:rsidR="001F6306" w:rsidRPr="003D7C77" w:rsidRDefault="0080326E" w:rsidP="002F6112">
            <w:pPr>
              <w:jc w:val="center"/>
              <w:rPr>
                <w:sz w:val="18"/>
                <w:szCs w:val="18"/>
              </w:rPr>
            </w:pPr>
            <w:hyperlink r:id="rId28" w:tooltip="FY 2009 Base Actual $457M. Click here to get the detailed project listing" w:history="1">
              <w:r w:rsidR="001F6306" w:rsidRPr="003D7C77">
                <w:rPr>
                  <w:sz w:val="18"/>
                  <w:szCs w:val="18"/>
                </w:rPr>
                <w:t>$457</w:t>
              </w:r>
            </w:hyperlink>
          </w:p>
        </w:tc>
        <w:tc>
          <w:tcPr>
            <w:tcW w:w="557" w:type="pct"/>
            <w:shd w:val="clear" w:color="auto" w:fill="FFFFFF" w:themeFill="background1"/>
            <w:vAlign w:val="center"/>
          </w:tcPr>
          <w:p w:rsidR="001F6306" w:rsidRPr="003D7C77" w:rsidRDefault="0080326E" w:rsidP="002F6112">
            <w:pPr>
              <w:jc w:val="center"/>
              <w:rPr>
                <w:sz w:val="18"/>
                <w:szCs w:val="18"/>
              </w:rPr>
            </w:pPr>
            <w:hyperlink r:id="rId29" w:tooltip="FY 2009 Base Actual $77M. Click here to get the detailed project listing" w:history="1">
              <w:r w:rsidR="001F6306" w:rsidRPr="003D7C77">
                <w:rPr>
                  <w:sz w:val="18"/>
                  <w:szCs w:val="18"/>
                </w:rPr>
                <w:t>$77</w:t>
              </w:r>
            </w:hyperlink>
          </w:p>
        </w:tc>
        <w:tc>
          <w:tcPr>
            <w:tcW w:w="557" w:type="pct"/>
            <w:shd w:val="clear" w:color="auto" w:fill="FFFFFF" w:themeFill="background1"/>
            <w:vAlign w:val="center"/>
          </w:tcPr>
          <w:p w:rsidR="001F6306" w:rsidRPr="003D7C77" w:rsidRDefault="0080326E" w:rsidP="002F6112">
            <w:pPr>
              <w:jc w:val="center"/>
              <w:rPr>
                <w:sz w:val="18"/>
                <w:szCs w:val="18"/>
              </w:rPr>
            </w:pPr>
            <w:hyperlink r:id="rId30" w:tooltip="FY 2010 Base Actual $450M. Click here to get the detailed project listing" w:history="1">
              <w:r w:rsidR="001F6306" w:rsidRPr="003D7C77">
                <w:rPr>
                  <w:sz w:val="18"/>
                  <w:szCs w:val="18"/>
                </w:rPr>
                <w:t>$450</w:t>
              </w:r>
            </w:hyperlink>
          </w:p>
        </w:tc>
        <w:tc>
          <w:tcPr>
            <w:tcW w:w="556" w:type="pct"/>
            <w:shd w:val="clear" w:color="auto" w:fill="FFFFFF" w:themeFill="background1"/>
            <w:vAlign w:val="center"/>
          </w:tcPr>
          <w:p w:rsidR="001F6306" w:rsidRPr="003D7C77" w:rsidRDefault="0080326E" w:rsidP="002F6112">
            <w:pPr>
              <w:jc w:val="center"/>
              <w:rPr>
                <w:sz w:val="18"/>
                <w:szCs w:val="18"/>
              </w:rPr>
            </w:pPr>
            <w:hyperlink r:id="rId31" w:tooltip="FY 2010 Base Actual $79M. Click here to get the detailed project listing" w:history="1">
              <w:r w:rsidR="001F6306" w:rsidRPr="003D7C77">
                <w:rPr>
                  <w:sz w:val="18"/>
                  <w:szCs w:val="18"/>
                </w:rPr>
                <w:t>$79</w:t>
              </w:r>
            </w:hyperlink>
          </w:p>
        </w:tc>
        <w:tc>
          <w:tcPr>
            <w:tcW w:w="556" w:type="pct"/>
            <w:shd w:val="clear" w:color="auto" w:fill="FFFFFF" w:themeFill="background1"/>
            <w:vAlign w:val="center"/>
          </w:tcPr>
          <w:p w:rsidR="001F6306" w:rsidRPr="003D7C77" w:rsidRDefault="0080326E" w:rsidP="002F6112">
            <w:pPr>
              <w:jc w:val="center"/>
              <w:rPr>
                <w:sz w:val="18"/>
                <w:szCs w:val="18"/>
              </w:rPr>
            </w:pPr>
            <w:hyperlink r:id="rId32" w:tooltip="FY 2011 Actual $448M. Click here to get the detailed project listing" w:history="1">
              <w:r w:rsidR="001F6306" w:rsidRPr="003D7C77">
                <w:rPr>
                  <w:sz w:val="18"/>
                  <w:szCs w:val="18"/>
                </w:rPr>
                <w:t>$448</w:t>
              </w:r>
            </w:hyperlink>
          </w:p>
        </w:tc>
        <w:tc>
          <w:tcPr>
            <w:tcW w:w="556" w:type="pct"/>
            <w:shd w:val="clear" w:color="auto" w:fill="FFFFFF" w:themeFill="background1"/>
            <w:vAlign w:val="center"/>
          </w:tcPr>
          <w:p w:rsidR="001F6306" w:rsidRPr="00454580" w:rsidRDefault="001F6306" w:rsidP="002F6112">
            <w:pPr>
              <w:jc w:val="center"/>
              <w:rPr>
                <w:sz w:val="18"/>
                <w:szCs w:val="18"/>
              </w:rPr>
            </w:pPr>
            <w:r w:rsidRPr="00454580">
              <w:rPr>
                <w:sz w:val="18"/>
                <w:szCs w:val="18"/>
              </w:rPr>
              <w:t>$</w:t>
            </w:r>
            <w:r w:rsidR="00FB3BCF">
              <w:rPr>
                <w:sz w:val="18"/>
                <w:szCs w:val="18"/>
              </w:rPr>
              <w:t>503</w:t>
            </w:r>
          </w:p>
        </w:tc>
        <w:tc>
          <w:tcPr>
            <w:tcW w:w="555" w:type="pct"/>
            <w:shd w:val="clear" w:color="auto" w:fill="FFFFFF" w:themeFill="background1"/>
            <w:vAlign w:val="center"/>
          </w:tcPr>
          <w:p w:rsidR="001F6306" w:rsidRPr="00454580" w:rsidRDefault="00FB3BCF" w:rsidP="002F6112">
            <w:pPr>
              <w:jc w:val="center"/>
              <w:rPr>
                <w:sz w:val="18"/>
                <w:szCs w:val="18"/>
              </w:rPr>
            </w:pPr>
            <w:r>
              <w:rPr>
                <w:sz w:val="18"/>
                <w:szCs w:val="18"/>
              </w:rPr>
              <w:t>$504</w:t>
            </w:r>
          </w:p>
        </w:tc>
      </w:tr>
    </w:tbl>
    <w:p w:rsidR="00FB3BCF" w:rsidRPr="00FB3BCF" w:rsidRDefault="00FB475F" w:rsidP="00FB3BCF">
      <w:pPr>
        <w:tabs>
          <w:tab w:val="left" w:pos="180"/>
          <w:tab w:val="left" w:pos="270"/>
          <w:tab w:val="left" w:pos="720"/>
          <w:tab w:val="left" w:pos="1080"/>
        </w:tabs>
        <w:ind w:left="144" w:hanging="144"/>
        <w:jc w:val="both"/>
        <w:rPr>
          <w:bCs/>
          <w:sz w:val="18"/>
          <w:szCs w:val="18"/>
        </w:rPr>
      </w:pPr>
      <w:r>
        <w:rPr>
          <w:sz w:val="18"/>
          <w:szCs w:val="18"/>
        </w:rPr>
        <w:t>*</w:t>
      </w:r>
      <w:r w:rsidR="00051EA3">
        <w:rPr>
          <w:sz w:val="18"/>
          <w:szCs w:val="18"/>
        </w:rPr>
        <w:tab/>
      </w:r>
      <w:r>
        <w:rPr>
          <w:bCs/>
          <w:sz w:val="18"/>
          <w:szCs w:val="18"/>
        </w:rPr>
        <w:t>Additional funding was provided through the American Recovery and Reinvestment Act of 2009</w:t>
      </w:r>
      <w:r>
        <w:rPr>
          <w:sz w:val="18"/>
          <w:szCs w:val="18"/>
        </w:rPr>
        <w:t xml:space="preserve"> (ARRA).  The Fiscal Year (FY) 2013 estimated amount for Alzheimer’s disease research does not include $80 million budgeted in FY 2013 in the proposed Prevention and Public Health Fund allocation to the DHHS General Departmental Management budget.  The total Alzheimer’s disease research expenditures, including these resources, would be $529 million in FY 2013.</w:t>
      </w:r>
      <w:r>
        <w:rPr>
          <w:bCs/>
          <w:sz w:val="18"/>
          <w:szCs w:val="18"/>
        </w:rPr>
        <w:t xml:space="preserve"> </w:t>
      </w:r>
      <w:r w:rsidR="00FB3BCF">
        <w:rPr>
          <w:bCs/>
          <w:sz w:val="18"/>
          <w:szCs w:val="18"/>
        </w:rPr>
        <w:t>Estimates for 2014 and 2015 are $566 million each year.</w:t>
      </w:r>
    </w:p>
    <w:p w:rsidR="001F6306" w:rsidRPr="00B62337" w:rsidRDefault="001F6306" w:rsidP="00AB074D">
      <w:pPr>
        <w:tabs>
          <w:tab w:val="left" w:pos="360"/>
          <w:tab w:val="left" w:pos="720"/>
          <w:tab w:val="left" w:pos="1080"/>
        </w:tabs>
        <w:jc w:val="both"/>
      </w:pPr>
    </w:p>
    <w:p w:rsidR="00874399" w:rsidRDefault="007074F6" w:rsidP="00AB074D">
      <w:pPr>
        <w:tabs>
          <w:tab w:val="left" w:pos="360"/>
          <w:tab w:val="left" w:pos="720"/>
          <w:tab w:val="left" w:pos="1080"/>
        </w:tabs>
        <w:jc w:val="both"/>
      </w:pPr>
      <w:r w:rsidRPr="008F2CAD">
        <w:rPr>
          <w:spacing w:val="3"/>
        </w:rPr>
        <w:t xml:space="preserve">According to the </w:t>
      </w:r>
      <w:r w:rsidR="00C7791B" w:rsidRPr="008F2CAD">
        <w:rPr>
          <w:spacing w:val="3"/>
        </w:rPr>
        <w:t xml:space="preserve">National </w:t>
      </w:r>
      <w:r w:rsidR="003B12A4" w:rsidRPr="008F2CAD">
        <w:rPr>
          <w:spacing w:val="3"/>
        </w:rPr>
        <w:t>Plan, the</w:t>
      </w:r>
      <w:r w:rsidR="00435896" w:rsidRPr="008F2CAD">
        <w:rPr>
          <w:spacing w:val="3"/>
        </w:rPr>
        <w:t xml:space="preserve"> federal government </w:t>
      </w:r>
      <w:r w:rsidR="004310F5">
        <w:rPr>
          <w:spacing w:val="3"/>
        </w:rPr>
        <w:t xml:space="preserve">intended to </w:t>
      </w:r>
      <w:r w:rsidR="00435896" w:rsidRPr="008F2CAD">
        <w:rPr>
          <w:spacing w:val="3"/>
        </w:rPr>
        <w:t xml:space="preserve">allocate </w:t>
      </w:r>
      <w:r w:rsidR="00874399" w:rsidRPr="008F2CAD">
        <w:rPr>
          <w:spacing w:val="3"/>
        </w:rPr>
        <w:t>$50 million in new</w:t>
      </w:r>
      <w:r w:rsidR="008F2CAD">
        <w:rPr>
          <w:spacing w:val="3"/>
        </w:rPr>
        <w:t> </w:t>
      </w:r>
      <w:r w:rsidR="00874399" w:rsidRPr="008F2CAD">
        <w:rPr>
          <w:spacing w:val="3"/>
        </w:rPr>
        <w:t xml:space="preserve">Alzheimer’s </w:t>
      </w:r>
      <w:r w:rsidR="008C0F66">
        <w:rPr>
          <w:spacing w:val="3"/>
        </w:rPr>
        <w:t>d</w:t>
      </w:r>
      <w:r w:rsidR="00874399" w:rsidRPr="008F2CAD">
        <w:rPr>
          <w:spacing w:val="3"/>
        </w:rPr>
        <w:t xml:space="preserve">isease research funding in </w:t>
      </w:r>
      <w:r w:rsidR="008F2CAD" w:rsidRPr="008F2CAD">
        <w:rPr>
          <w:spacing w:val="3"/>
        </w:rPr>
        <w:t>FY</w:t>
      </w:r>
      <w:r w:rsidR="00874399" w:rsidRPr="008F2CAD">
        <w:rPr>
          <w:spacing w:val="3"/>
        </w:rPr>
        <w:t xml:space="preserve"> 2012</w:t>
      </w:r>
      <w:r w:rsidR="008F2CAD" w:rsidRPr="008F2CAD">
        <w:rPr>
          <w:spacing w:val="3"/>
        </w:rPr>
        <w:t>,</w:t>
      </w:r>
      <w:r w:rsidR="00874399" w:rsidRPr="008F2CAD">
        <w:rPr>
          <w:spacing w:val="3"/>
        </w:rPr>
        <w:t xml:space="preserve"> and $80 million in new Alzheimer’s</w:t>
      </w:r>
      <w:r w:rsidR="008F2CAD">
        <w:t> </w:t>
      </w:r>
      <w:r w:rsidR="008C0F66">
        <w:t>d</w:t>
      </w:r>
      <w:r w:rsidR="00874399" w:rsidRPr="00B62337">
        <w:t xml:space="preserve">isease research funding in </w:t>
      </w:r>
      <w:r w:rsidR="008F2CAD">
        <w:t>FY</w:t>
      </w:r>
      <w:r w:rsidR="00874399" w:rsidRPr="00B62337">
        <w:t xml:space="preserve"> 2013.</w:t>
      </w:r>
      <w:r w:rsidR="008F2CAD">
        <w:t xml:space="preserve"> </w:t>
      </w:r>
      <w:r w:rsidR="00874399" w:rsidRPr="00B62337">
        <w:t xml:space="preserve"> </w:t>
      </w:r>
      <w:r w:rsidR="001F6306" w:rsidRPr="00B62337">
        <w:t xml:space="preserve">In Nevada, </w:t>
      </w:r>
      <w:r w:rsidR="008F2CAD">
        <w:t xml:space="preserve">the </w:t>
      </w:r>
      <w:r w:rsidR="001F6306" w:rsidRPr="00B62337">
        <w:t>A</w:t>
      </w:r>
      <w:r w:rsidR="00F71101">
        <w:t>D</w:t>
      </w:r>
      <w:r w:rsidR="001F6306" w:rsidRPr="00B62337">
        <w:t>S</w:t>
      </w:r>
      <w:r w:rsidR="008F2CAD">
        <w:t>D</w:t>
      </w:r>
      <w:r w:rsidR="001F6306" w:rsidRPr="00B62337">
        <w:t xml:space="preserve"> currently provides dementia research and diagnosis funding to the Cleveland</w:t>
      </w:r>
      <w:r w:rsidR="00F71101">
        <w:t xml:space="preserve"> </w:t>
      </w:r>
      <w:r w:rsidR="001F6306" w:rsidRPr="00B62337">
        <w:t>Cli</w:t>
      </w:r>
      <w:r w:rsidR="006C3E0D">
        <w:t>nic</w:t>
      </w:r>
      <w:r w:rsidR="004F68C6">
        <w:t xml:space="preserve"> Lou Ruvo Center for Brain </w:t>
      </w:r>
      <w:r w:rsidR="001F6306" w:rsidRPr="00B62337">
        <w:t>Health</w:t>
      </w:r>
      <w:r w:rsidR="00F71101">
        <w:t>–</w:t>
      </w:r>
      <w:r w:rsidR="001F6306" w:rsidRPr="00B62337">
        <w:t xml:space="preserve">Alzheimer’s Diagnostic, </w:t>
      </w:r>
      <w:r w:rsidR="00471C79">
        <w:t xml:space="preserve">Las Vegas, </w:t>
      </w:r>
      <w:r w:rsidR="00435896" w:rsidRPr="00B62337">
        <w:t>through</w:t>
      </w:r>
      <w:r w:rsidR="001F6306" w:rsidRPr="00B62337">
        <w:t xml:space="preserve"> Title</w:t>
      </w:r>
      <w:r w:rsidR="008F2CAD">
        <w:t> </w:t>
      </w:r>
      <w:r w:rsidR="001F6306" w:rsidRPr="00B62337">
        <w:t>III-B of the Older Americans Act.</w:t>
      </w:r>
      <w:bookmarkStart w:id="2" w:name="strategy1.B"/>
      <w:r w:rsidR="00874399" w:rsidRPr="00B62337">
        <w:t xml:space="preserve">  </w:t>
      </w:r>
      <w:bookmarkEnd w:id="2"/>
      <w:r w:rsidR="00F71101">
        <w:t>Various</w:t>
      </w:r>
      <w:r w:rsidR="004F68C6">
        <w:t xml:space="preserve"> </w:t>
      </w:r>
      <w:r w:rsidR="003B12A4" w:rsidRPr="00B62337">
        <w:t xml:space="preserve">program partners and other community organizations, </w:t>
      </w:r>
      <w:r w:rsidR="00704A52">
        <w:t xml:space="preserve">which apply </w:t>
      </w:r>
      <w:r w:rsidR="003B12A4" w:rsidRPr="00B62337">
        <w:t>for funding independently, obtain additional funding for research and diagnosis efforts</w:t>
      </w:r>
      <w:r w:rsidR="006D11D2" w:rsidRPr="00B62337">
        <w:t>.</w:t>
      </w:r>
    </w:p>
    <w:p w:rsidR="007727EE" w:rsidRDefault="007727EE" w:rsidP="00AB074D">
      <w:pPr>
        <w:tabs>
          <w:tab w:val="left" w:pos="360"/>
          <w:tab w:val="left" w:pos="720"/>
          <w:tab w:val="left" w:pos="108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890"/>
        <w:gridCol w:w="3960"/>
        <w:gridCol w:w="540"/>
        <w:gridCol w:w="1440"/>
        <w:gridCol w:w="1620"/>
        <w:gridCol w:w="18"/>
      </w:tblGrid>
      <w:tr w:rsidR="006C3E0D" w:rsidRPr="00151251" w:rsidTr="00450527">
        <w:trPr>
          <w:trHeight w:val="720"/>
        </w:trPr>
        <w:tc>
          <w:tcPr>
            <w:tcW w:w="9468" w:type="dxa"/>
            <w:gridSpan w:val="6"/>
            <w:shd w:val="clear" w:color="auto" w:fill="D9D9D9" w:themeFill="background1" w:themeFillShade="D9"/>
            <w:vAlign w:val="center"/>
          </w:tcPr>
          <w:p w:rsidR="004E02EF" w:rsidRPr="00454580" w:rsidRDefault="006C3E0D" w:rsidP="001422D5">
            <w:pPr>
              <w:jc w:val="center"/>
              <w:rPr>
                <w:rFonts w:eastAsia="Calibri" w:cs="Arial"/>
                <w:sz w:val="18"/>
                <w:szCs w:val="18"/>
                <w:u w:val="single"/>
              </w:rPr>
            </w:pPr>
            <w:r w:rsidRPr="004F5242">
              <w:rPr>
                <w:rFonts w:eastAsia="Calibri" w:cs="Arial"/>
                <w:b/>
                <w:sz w:val="20"/>
                <w:szCs w:val="20"/>
              </w:rPr>
              <w:t>Alzheimer’s Services—ADSD Gran</w:t>
            </w:r>
            <w:r w:rsidR="00294570">
              <w:rPr>
                <w:rFonts w:eastAsia="Calibri" w:cs="Arial"/>
                <w:b/>
                <w:sz w:val="20"/>
                <w:szCs w:val="20"/>
              </w:rPr>
              <w:t>t Funded Services FY 2012-2013</w:t>
            </w:r>
          </w:p>
        </w:tc>
      </w:tr>
      <w:tr w:rsidR="00361199" w:rsidRPr="00151251" w:rsidTr="00C277C2">
        <w:trPr>
          <w:trHeight w:val="576"/>
        </w:trPr>
        <w:tc>
          <w:tcPr>
            <w:tcW w:w="1890" w:type="dxa"/>
            <w:shd w:val="clear" w:color="auto" w:fill="FFFFFF" w:themeFill="background1"/>
            <w:vAlign w:val="center"/>
          </w:tcPr>
          <w:p w:rsidR="00361199" w:rsidRPr="001533AC" w:rsidRDefault="00A730F9" w:rsidP="00025BD3">
            <w:pPr>
              <w:jc w:val="center"/>
              <w:rPr>
                <w:rFonts w:eastAsia="Calibri" w:cs="Arial"/>
                <w:b/>
                <w:sz w:val="18"/>
                <w:szCs w:val="18"/>
              </w:rPr>
            </w:pPr>
            <w:r w:rsidRPr="001533AC">
              <w:rPr>
                <w:rFonts w:eastAsia="Calibri" w:cs="Arial"/>
                <w:b/>
                <w:sz w:val="18"/>
                <w:szCs w:val="18"/>
                <w:u w:val="single"/>
              </w:rPr>
              <w:t>Type</w:t>
            </w:r>
            <w:r w:rsidR="001533AC" w:rsidRPr="001533AC">
              <w:rPr>
                <w:rFonts w:eastAsia="Calibri" w:cs="Arial"/>
                <w:b/>
                <w:sz w:val="18"/>
                <w:szCs w:val="18"/>
                <w:u w:val="single"/>
              </w:rPr>
              <w:t xml:space="preserve"> of F</w:t>
            </w:r>
            <w:r w:rsidRPr="001533AC">
              <w:rPr>
                <w:rFonts w:eastAsia="Calibri" w:cs="Arial"/>
                <w:b/>
                <w:sz w:val="18"/>
                <w:szCs w:val="18"/>
                <w:u w:val="single"/>
              </w:rPr>
              <w:t>unds</w:t>
            </w:r>
          </w:p>
        </w:tc>
        <w:tc>
          <w:tcPr>
            <w:tcW w:w="3960" w:type="dxa"/>
            <w:shd w:val="clear" w:color="auto" w:fill="FFFFFF" w:themeFill="background1"/>
            <w:vAlign w:val="center"/>
          </w:tcPr>
          <w:p w:rsidR="00361199" w:rsidRPr="001533AC" w:rsidRDefault="00A730F9" w:rsidP="00025BD3">
            <w:pPr>
              <w:jc w:val="center"/>
              <w:rPr>
                <w:rFonts w:eastAsia="Calibri" w:cs="Arial"/>
                <w:b/>
                <w:sz w:val="18"/>
                <w:szCs w:val="18"/>
                <w:u w:val="single"/>
              </w:rPr>
            </w:pPr>
            <w:r w:rsidRPr="001533AC">
              <w:rPr>
                <w:rFonts w:eastAsia="Calibri" w:cs="Arial"/>
                <w:b/>
                <w:sz w:val="18"/>
                <w:szCs w:val="18"/>
                <w:u w:val="single"/>
              </w:rPr>
              <w:t>Grantee</w:t>
            </w:r>
          </w:p>
        </w:tc>
        <w:tc>
          <w:tcPr>
            <w:tcW w:w="1980" w:type="dxa"/>
            <w:gridSpan w:val="2"/>
            <w:shd w:val="clear" w:color="auto" w:fill="FFFFFF" w:themeFill="background1"/>
            <w:vAlign w:val="center"/>
          </w:tcPr>
          <w:p w:rsidR="00361199" w:rsidRPr="001533AC" w:rsidRDefault="00A730F9" w:rsidP="00025BD3">
            <w:pPr>
              <w:jc w:val="center"/>
              <w:rPr>
                <w:rFonts w:eastAsia="Calibri" w:cs="Arial"/>
                <w:b/>
                <w:sz w:val="18"/>
                <w:szCs w:val="18"/>
                <w:u w:val="single"/>
              </w:rPr>
            </w:pPr>
            <w:r w:rsidRPr="001533AC">
              <w:rPr>
                <w:rFonts w:eastAsia="Calibri" w:cs="Arial"/>
                <w:b/>
                <w:sz w:val="18"/>
                <w:szCs w:val="18"/>
                <w:u w:val="single"/>
              </w:rPr>
              <w:t>Type of Service</w:t>
            </w:r>
          </w:p>
        </w:tc>
        <w:tc>
          <w:tcPr>
            <w:tcW w:w="1638" w:type="dxa"/>
            <w:gridSpan w:val="2"/>
            <w:shd w:val="clear" w:color="auto" w:fill="FFFFFF" w:themeFill="background1"/>
            <w:vAlign w:val="center"/>
          </w:tcPr>
          <w:p w:rsidR="00361199" w:rsidRPr="001533AC" w:rsidRDefault="00A730F9" w:rsidP="00025BD3">
            <w:pPr>
              <w:jc w:val="center"/>
              <w:rPr>
                <w:rFonts w:eastAsia="Calibri" w:cs="Arial"/>
                <w:b/>
                <w:sz w:val="18"/>
                <w:szCs w:val="18"/>
                <w:u w:val="single"/>
              </w:rPr>
            </w:pPr>
            <w:r w:rsidRPr="001533AC">
              <w:rPr>
                <w:rFonts w:eastAsia="Calibri" w:cs="Arial"/>
                <w:b/>
                <w:sz w:val="18"/>
                <w:szCs w:val="18"/>
                <w:u w:val="single"/>
              </w:rPr>
              <w:t xml:space="preserve">FY </w:t>
            </w:r>
            <w:r w:rsidR="00F95933" w:rsidRPr="001533AC">
              <w:rPr>
                <w:rFonts w:eastAsia="Calibri" w:cs="Arial"/>
                <w:b/>
                <w:sz w:val="18"/>
                <w:szCs w:val="18"/>
                <w:u w:val="single"/>
              </w:rPr>
              <w:t>20</w:t>
            </w:r>
            <w:r w:rsidRPr="001533AC">
              <w:rPr>
                <w:rFonts w:eastAsia="Calibri" w:cs="Arial"/>
                <w:b/>
                <w:sz w:val="18"/>
                <w:szCs w:val="18"/>
                <w:u w:val="single"/>
              </w:rPr>
              <w:t>12-</w:t>
            </w:r>
            <w:r w:rsidR="00F95933" w:rsidRPr="001533AC">
              <w:rPr>
                <w:rFonts w:eastAsia="Calibri" w:cs="Arial"/>
                <w:b/>
                <w:sz w:val="18"/>
                <w:szCs w:val="18"/>
                <w:u w:val="single"/>
              </w:rPr>
              <w:t>20</w:t>
            </w:r>
            <w:r w:rsidRPr="001533AC">
              <w:rPr>
                <w:rFonts w:eastAsia="Calibri" w:cs="Arial"/>
                <w:b/>
                <w:sz w:val="18"/>
                <w:szCs w:val="18"/>
                <w:u w:val="single"/>
              </w:rPr>
              <w:t>13</w:t>
            </w:r>
          </w:p>
        </w:tc>
      </w:tr>
      <w:tr w:rsidR="00025BD3" w:rsidRPr="00151251" w:rsidTr="00025BD3">
        <w:trPr>
          <w:trHeight w:val="432"/>
        </w:trPr>
        <w:tc>
          <w:tcPr>
            <w:tcW w:w="1890" w:type="dxa"/>
            <w:shd w:val="clear" w:color="auto" w:fill="FFFFFF" w:themeFill="background1"/>
            <w:vAlign w:val="center"/>
          </w:tcPr>
          <w:p w:rsidR="00025BD3" w:rsidRPr="001533AC" w:rsidRDefault="00025BD3" w:rsidP="00025BD3">
            <w:pPr>
              <w:jc w:val="center"/>
              <w:rPr>
                <w:rFonts w:eastAsia="Calibri" w:cs="Arial"/>
                <w:b/>
                <w:sz w:val="18"/>
                <w:szCs w:val="18"/>
                <w:u w:val="single"/>
              </w:rPr>
            </w:pPr>
            <w:r w:rsidRPr="001533AC">
              <w:rPr>
                <w:rFonts w:eastAsia="Calibri" w:cs="Arial"/>
                <w:b/>
                <w:sz w:val="18"/>
                <w:szCs w:val="18"/>
              </w:rPr>
              <w:t>Fund for a Healthy Nevada</w:t>
            </w:r>
          </w:p>
        </w:tc>
        <w:tc>
          <w:tcPr>
            <w:tcW w:w="3960" w:type="dxa"/>
            <w:shd w:val="clear" w:color="auto" w:fill="FFFFFF" w:themeFill="background1"/>
            <w:vAlign w:val="center"/>
          </w:tcPr>
          <w:p w:rsidR="00025BD3" w:rsidRPr="001533AC" w:rsidRDefault="00025BD3" w:rsidP="00025BD3">
            <w:pPr>
              <w:jc w:val="center"/>
              <w:rPr>
                <w:rFonts w:eastAsia="Calibri" w:cs="Arial"/>
                <w:b/>
                <w:sz w:val="18"/>
                <w:szCs w:val="18"/>
                <w:u w:val="single"/>
              </w:rPr>
            </w:pPr>
          </w:p>
        </w:tc>
        <w:tc>
          <w:tcPr>
            <w:tcW w:w="1980" w:type="dxa"/>
            <w:gridSpan w:val="2"/>
            <w:shd w:val="clear" w:color="auto" w:fill="FFFFFF" w:themeFill="background1"/>
            <w:vAlign w:val="center"/>
          </w:tcPr>
          <w:p w:rsidR="00025BD3" w:rsidRPr="001533AC" w:rsidRDefault="00025BD3" w:rsidP="00025BD3">
            <w:pPr>
              <w:jc w:val="center"/>
              <w:rPr>
                <w:rFonts w:eastAsia="Calibri" w:cs="Arial"/>
                <w:b/>
                <w:sz w:val="18"/>
                <w:szCs w:val="18"/>
                <w:u w:val="single"/>
              </w:rPr>
            </w:pPr>
          </w:p>
        </w:tc>
        <w:tc>
          <w:tcPr>
            <w:tcW w:w="1638" w:type="dxa"/>
            <w:gridSpan w:val="2"/>
            <w:shd w:val="clear" w:color="auto" w:fill="FFFFFF" w:themeFill="background1"/>
            <w:vAlign w:val="center"/>
          </w:tcPr>
          <w:p w:rsidR="00025BD3" w:rsidRPr="001533AC" w:rsidRDefault="00025BD3" w:rsidP="00025BD3">
            <w:pPr>
              <w:jc w:val="center"/>
              <w:rPr>
                <w:rFonts w:eastAsia="Calibri" w:cs="Arial"/>
                <w:b/>
                <w:sz w:val="18"/>
                <w:szCs w:val="18"/>
                <w:u w:val="single"/>
              </w:rPr>
            </w:pPr>
          </w:p>
        </w:tc>
      </w:tr>
      <w:tr w:rsidR="00361199" w:rsidRPr="00151251" w:rsidTr="00370E17">
        <w:tc>
          <w:tcPr>
            <w:tcW w:w="1890" w:type="dxa"/>
            <w:shd w:val="clear" w:color="auto" w:fill="FFFFFF" w:themeFill="background1"/>
          </w:tcPr>
          <w:p w:rsidR="00361199" w:rsidRPr="00454580" w:rsidRDefault="00A730F9" w:rsidP="00361199">
            <w:pPr>
              <w:jc w:val="center"/>
              <w:rPr>
                <w:rFonts w:eastAsia="Calibri" w:cs="Arial"/>
                <w:sz w:val="18"/>
                <w:szCs w:val="18"/>
              </w:rPr>
            </w:pPr>
            <w:r w:rsidRPr="00454580">
              <w:rPr>
                <w:rFonts w:eastAsia="Calibri" w:cs="Arial"/>
                <w:sz w:val="18"/>
                <w:szCs w:val="18"/>
              </w:rPr>
              <w:t>Independent Living Funds</w:t>
            </w:r>
          </w:p>
        </w:tc>
        <w:tc>
          <w:tcPr>
            <w:tcW w:w="3960" w:type="dxa"/>
            <w:shd w:val="clear" w:color="auto" w:fill="FFFFFF" w:themeFill="background1"/>
            <w:vAlign w:val="center"/>
          </w:tcPr>
          <w:p w:rsidR="001533AC" w:rsidRDefault="00A730F9" w:rsidP="00CB3AE3">
            <w:pPr>
              <w:jc w:val="center"/>
              <w:rPr>
                <w:rFonts w:eastAsia="Calibri" w:cs="Arial"/>
                <w:sz w:val="18"/>
                <w:szCs w:val="18"/>
              </w:rPr>
            </w:pPr>
            <w:r w:rsidRPr="00454580">
              <w:rPr>
                <w:rFonts w:eastAsia="Calibri" w:cs="Arial"/>
                <w:sz w:val="18"/>
                <w:szCs w:val="18"/>
              </w:rPr>
              <w:t xml:space="preserve">Northern Nevada </w:t>
            </w:r>
            <w:r w:rsidR="002C749F">
              <w:rPr>
                <w:rFonts w:eastAsia="Calibri" w:cs="Arial"/>
                <w:sz w:val="18"/>
                <w:szCs w:val="18"/>
              </w:rPr>
              <w:t>Office,</w:t>
            </w:r>
          </w:p>
          <w:p w:rsidR="00361199" w:rsidRPr="00454580" w:rsidRDefault="00A730F9" w:rsidP="00CB3AE3">
            <w:pPr>
              <w:jc w:val="center"/>
              <w:rPr>
                <w:rFonts w:eastAsia="Calibri" w:cs="Arial"/>
                <w:sz w:val="18"/>
                <w:szCs w:val="18"/>
              </w:rPr>
            </w:pPr>
            <w:r w:rsidRPr="00454580">
              <w:rPr>
                <w:rFonts w:eastAsia="Calibri" w:cs="Arial"/>
                <w:sz w:val="18"/>
                <w:szCs w:val="18"/>
              </w:rPr>
              <w:t>Alzheimer’s</w:t>
            </w:r>
            <w:r w:rsidR="002C749F">
              <w:rPr>
                <w:rFonts w:eastAsia="Calibri" w:cs="Arial"/>
                <w:sz w:val="18"/>
                <w:szCs w:val="18"/>
              </w:rPr>
              <w:t xml:space="preserve"> Association</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Respite</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$164,099</w:t>
            </w:r>
          </w:p>
        </w:tc>
      </w:tr>
      <w:tr w:rsidR="00361199" w:rsidRPr="00151251" w:rsidTr="00370E17">
        <w:tc>
          <w:tcPr>
            <w:tcW w:w="1890" w:type="dxa"/>
            <w:shd w:val="clear" w:color="auto" w:fill="FFFFFF" w:themeFill="background1"/>
          </w:tcPr>
          <w:p w:rsidR="00361199" w:rsidRPr="00454580" w:rsidRDefault="00A730F9" w:rsidP="00361199">
            <w:pPr>
              <w:jc w:val="center"/>
              <w:rPr>
                <w:rFonts w:eastAsia="Calibri" w:cs="Arial"/>
                <w:sz w:val="18"/>
                <w:szCs w:val="18"/>
              </w:rPr>
            </w:pPr>
            <w:r w:rsidRPr="00454580">
              <w:rPr>
                <w:rFonts w:eastAsia="Calibri" w:cs="Arial"/>
                <w:sz w:val="18"/>
                <w:szCs w:val="18"/>
              </w:rPr>
              <w:t>Independent Living Funds</w:t>
            </w:r>
          </w:p>
        </w:tc>
        <w:tc>
          <w:tcPr>
            <w:tcW w:w="3960" w:type="dxa"/>
            <w:shd w:val="clear" w:color="auto" w:fill="FFFFFF" w:themeFill="background1"/>
            <w:vAlign w:val="center"/>
          </w:tcPr>
          <w:p w:rsidR="001533AC" w:rsidRDefault="00A730F9" w:rsidP="00CB3AE3">
            <w:pPr>
              <w:jc w:val="center"/>
              <w:rPr>
                <w:rFonts w:eastAsia="Calibri" w:cs="Arial"/>
                <w:sz w:val="18"/>
                <w:szCs w:val="18"/>
              </w:rPr>
            </w:pPr>
            <w:r w:rsidRPr="00454580">
              <w:rPr>
                <w:rFonts w:eastAsia="Calibri" w:cs="Arial"/>
                <w:sz w:val="18"/>
                <w:szCs w:val="18"/>
              </w:rPr>
              <w:t xml:space="preserve">Northern Nevada </w:t>
            </w:r>
            <w:r w:rsidR="002C749F">
              <w:rPr>
                <w:rFonts w:eastAsia="Calibri" w:cs="Arial"/>
                <w:sz w:val="18"/>
                <w:szCs w:val="18"/>
              </w:rPr>
              <w:t>Office,</w:t>
            </w:r>
          </w:p>
          <w:p w:rsidR="00361199" w:rsidRPr="00454580" w:rsidRDefault="00A730F9" w:rsidP="00CB3AE3">
            <w:pPr>
              <w:jc w:val="center"/>
              <w:rPr>
                <w:rFonts w:eastAsia="Calibri" w:cs="Arial"/>
                <w:sz w:val="18"/>
                <w:szCs w:val="18"/>
              </w:rPr>
            </w:pPr>
            <w:r w:rsidRPr="00454580">
              <w:rPr>
                <w:rFonts w:eastAsia="Calibri" w:cs="Arial"/>
                <w:sz w:val="18"/>
                <w:szCs w:val="18"/>
              </w:rPr>
              <w:t>Alzheimer’s</w:t>
            </w:r>
            <w:r w:rsidR="002C749F">
              <w:rPr>
                <w:rFonts w:eastAsia="Calibri" w:cs="Arial"/>
                <w:sz w:val="18"/>
                <w:szCs w:val="18"/>
              </w:rPr>
              <w:t xml:space="preserve"> Association</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Caregiver Support</w:t>
            </w:r>
          </w:p>
        </w:tc>
        <w:tc>
          <w:tcPr>
            <w:tcW w:w="1638" w:type="dxa"/>
            <w:gridSpan w:val="2"/>
            <w:shd w:val="clear" w:color="auto" w:fill="FFFFFF" w:themeFill="background1"/>
            <w:vAlign w:val="center"/>
          </w:tcPr>
          <w:p w:rsidR="00361199" w:rsidRPr="00454580" w:rsidRDefault="001533AC" w:rsidP="001533AC">
            <w:pPr>
              <w:jc w:val="center"/>
              <w:rPr>
                <w:rFonts w:eastAsia="Calibri" w:cs="Arial"/>
                <w:sz w:val="18"/>
                <w:szCs w:val="18"/>
              </w:rPr>
            </w:pPr>
            <w:r>
              <w:rPr>
                <w:rFonts w:eastAsia="Calibri" w:cs="Arial"/>
                <w:sz w:val="18"/>
                <w:szCs w:val="18"/>
              </w:rPr>
              <w:t>$</w:t>
            </w:r>
            <w:r w:rsidR="00A730F9" w:rsidRPr="00454580">
              <w:rPr>
                <w:rFonts w:eastAsia="Calibri" w:cs="Arial"/>
                <w:sz w:val="18"/>
                <w:szCs w:val="18"/>
              </w:rPr>
              <w:t>42,165</w:t>
            </w:r>
          </w:p>
        </w:tc>
      </w:tr>
      <w:tr w:rsidR="00361199" w:rsidRPr="00151251" w:rsidTr="00370E17">
        <w:tc>
          <w:tcPr>
            <w:tcW w:w="1890" w:type="dxa"/>
            <w:shd w:val="clear" w:color="auto" w:fill="FFFFFF" w:themeFill="background1"/>
          </w:tcPr>
          <w:p w:rsidR="00361199" w:rsidRPr="00454580" w:rsidRDefault="00A730F9" w:rsidP="00361199">
            <w:pPr>
              <w:jc w:val="center"/>
              <w:rPr>
                <w:rFonts w:eastAsia="Calibri" w:cs="Arial"/>
                <w:sz w:val="18"/>
                <w:szCs w:val="18"/>
              </w:rPr>
            </w:pPr>
            <w:r w:rsidRPr="00454580">
              <w:rPr>
                <w:rFonts w:eastAsia="Calibri" w:cs="Arial"/>
                <w:sz w:val="18"/>
                <w:szCs w:val="18"/>
              </w:rPr>
              <w:t>Independent Living Funds</w:t>
            </w:r>
          </w:p>
        </w:tc>
        <w:tc>
          <w:tcPr>
            <w:tcW w:w="3960" w:type="dxa"/>
            <w:shd w:val="clear" w:color="auto" w:fill="FFFFFF" w:themeFill="background1"/>
            <w:vAlign w:val="center"/>
          </w:tcPr>
          <w:p w:rsidR="00361199" w:rsidRPr="00454580" w:rsidRDefault="00A730F9" w:rsidP="00D61988">
            <w:pPr>
              <w:jc w:val="center"/>
              <w:rPr>
                <w:rFonts w:eastAsia="Calibri" w:cs="Arial"/>
                <w:sz w:val="18"/>
                <w:szCs w:val="18"/>
              </w:rPr>
            </w:pPr>
            <w:r w:rsidRPr="00454580">
              <w:rPr>
                <w:rFonts w:eastAsia="Calibri" w:cs="Arial"/>
                <w:sz w:val="18"/>
                <w:szCs w:val="18"/>
              </w:rPr>
              <w:t>Desert S</w:t>
            </w:r>
            <w:r w:rsidR="00313B92">
              <w:rPr>
                <w:rFonts w:eastAsia="Calibri" w:cs="Arial"/>
                <w:sz w:val="18"/>
                <w:szCs w:val="18"/>
              </w:rPr>
              <w:t>outhwest Chapter,</w:t>
            </w:r>
            <w:r w:rsidR="00D61988">
              <w:rPr>
                <w:rFonts w:eastAsia="Calibri" w:cs="Arial"/>
                <w:sz w:val="18"/>
                <w:szCs w:val="18"/>
              </w:rPr>
              <w:t xml:space="preserve"> A</w:t>
            </w:r>
            <w:r w:rsidRPr="00454580">
              <w:rPr>
                <w:rFonts w:eastAsia="Calibri" w:cs="Arial"/>
                <w:sz w:val="18"/>
                <w:szCs w:val="18"/>
              </w:rPr>
              <w:t>lzheimer’s</w:t>
            </w:r>
            <w:r w:rsidR="00D61988">
              <w:rPr>
                <w:rFonts w:eastAsia="Calibri" w:cs="Arial"/>
                <w:sz w:val="18"/>
                <w:szCs w:val="18"/>
              </w:rPr>
              <w:t> </w:t>
            </w:r>
            <w:r w:rsidR="00313B92">
              <w:rPr>
                <w:rFonts w:eastAsia="Calibri" w:cs="Arial"/>
                <w:sz w:val="18"/>
                <w:szCs w:val="18"/>
              </w:rPr>
              <w:t>Association</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Respite</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$151,919</w:t>
            </w:r>
          </w:p>
        </w:tc>
      </w:tr>
      <w:tr w:rsidR="00361199" w:rsidRPr="00151251" w:rsidTr="00370E17">
        <w:tc>
          <w:tcPr>
            <w:tcW w:w="1890" w:type="dxa"/>
            <w:shd w:val="clear" w:color="auto" w:fill="FFFFFF" w:themeFill="background1"/>
          </w:tcPr>
          <w:p w:rsidR="00361199" w:rsidRPr="00454580" w:rsidRDefault="00A730F9" w:rsidP="00361199">
            <w:pPr>
              <w:jc w:val="center"/>
              <w:rPr>
                <w:rFonts w:eastAsia="Calibri" w:cs="Arial"/>
                <w:sz w:val="18"/>
                <w:szCs w:val="18"/>
              </w:rPr>
            </w:pPr>
            <w:r w:rsidRPr="00454580">
              <w:rPr>
                <w:rFonts w:eastAsia="Calibri" w:cs="Arial"/>
                <w:sz w:val="18"/>
                <w:szCs w:val="18"/>
              </w:rPr>
              <w:t>Independent Living Funds</w:t>
            </w:r>
          </w:p>
        </w:tc>
        <w:tc>
          <w:tcPr>
            <w:tcW w:w="3960" w:type="dxa"/>
            <w:shd w:val="clear" w:color="auto" w:fill="FFFFFF" w:themeFill="background1"/>
            <w:vAlign w:val="center"/>
          </w:tcPr>
          <w:p w:rsidR="00361199" w:rsidRPr="00454580" w:rsidRDefault="004F48FE" w:rsidP="00D61988">
            <w:pPr>
              <w:jc w:val="center"/>
              <w:rPr>
                <w:rFonts w:eastAsia="Calibri" w:cs="Arial"/>
                <w:sz w:val="18"/>
                <w:szCs w:val="18"/>
              </w:rPr>
            </w:pPr>
            <w:r>
              <w:rPr>
                <w:rFonts w:eastAsia="Calibri" w:cs="Arial"/>
                <w:sz w:val="18"/>
                <w:szCs w:val="18"/>
              </w:rPr>
              <w:t xml:space="preserve">Desert Southwest </w:t>
            </w:r>
            <w:r w:rsidR="00AB50D9">
              <w:rPr>
                <w:rFonts w:eastAsia="Calibri" w:cs="Arial"/>
                <w:sz w:val="18"/>
                <w:szCs w:val="18"/>
              </w:rPr>
              <w:t>Chapter,</w:t>
            </w:r>
            <w:r>
              <w:rPr>
                <w:rFonts w:eastAsia="Calibri" w:cs="Arial"/>
                <w:sz w:val="18"/>
                <w:szCs w:val="18"/>
              </w:rPr>
              <w:t xml:space="preserve"> </w:t>
            </w:r>
            <w:r w:rsidR="00A730F9" w:rsidRPr="00454580">
              <w:rPr>
                <w:rFonts w:eastAsia="Calibri" w:cs="Arial"/>
                <w:sz w:val="18"/>
                <w:szCs w:val="18"/>
              </w:rPr>
              <w:t>Alzheimer’s</w:t>
            </w:r>
            <w:r w:rsidR="00D61988">
              <w:rPr>
                <w:rFonts w:eastAsia="Calibri" w:cs="Arial"/>
                <w:sz w:val="18"/>
                <w:szCs w:val="18"/>
              </w:rPr>
              <w:t> </w:t>
            </w:r>
            <w:r w:rsidR="00AB50D9">
              <w:rPr>
                <w:rFonts w:eastAsia="Calibri" w:cs="Arial"/>
                <w:sz w:val="18"/>
                <w:szCs w:val="18"/>
              </w:rPr>
              <w:t>Association</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Caregiver Support</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$53,550</w:t>
            </w:r>
          </w:p>
        </w:tc>
      </w:tr>
      <w:tr w:rsidR="00361199" w:rsidRPr="00151251" w:rsidTr="00370E17">
        <w:tc>
          <w:tcPr>
            <w:tcW w:w="1890" w:type="dxa"/>
            <w:shd w:val="clear" w:color="auto" w:fill="FFFFFF" w:themeFill="background1"/>
          </w:tcPr>
          <w:p w:rsidR="00361199" w:rsidRPr="00454580" w:rsidRDefault="00A730F9" w:rsidP="00361199">
            <w:pPr>
              <w:jc w:val="center"/>
              <w:rPr>
                <w:rFonts w:eastAsia="Calibri" w:cs="Arial"/>
                <w:b/>
                <w:sz w:val="18"/>
                <w:szCs w:val="18"/>
              </w:rPr>
            </w:pPr>
            <w:r w:rsidRPr="00454580">
              <w:rPr>
                <w:rFonts w:eastAsia="Calibri" w:cs="Arial"/>
                <w:b/>
                <w:sz w:val="18"/>
                <w:szCs w:val="18"/>
              </w:rPr>
              <w:t>Older American</w:t>
            </w:r>
            <w:r w:rsidR="001934AB">
              <w:rPr>
                <w:rFonts w:eastAsia="Calibri" w:cs="Arial"/>
                <w:b/>
                <w:sz w:val="18"/>
                <w:szCs w:val="18"/>
              </w:rPr>
              <w:t>s</w:t>
            </w:r>
            <w:r w:rsidRPr="00454580">
              <w:rPr>
                <w:rFonts w:eastAsia="Calibri" w:cs="Arial"/>
                <w:b/>
                <w:sz w:val="18"/>
                <w:szCs w:val="18"/>
              </w:rPr>
              <w:t xml:space="preserve"> Act Funding</w:t>
            </w:r>
          </w:p>
        </w:tc>
        <w:tc>
          <w:tcPr>
            <w:tcW w:w="3960" w:type="dxa"/>
            <w:shd w:val="clear" w:color="auto" w:fill="FFFFFF" w:themeFill="background1"/>
            <w:vAlign w:val="center"/>
          </w:tcPr>
          <w:p w:rsidR="00361199" w:rsidRPr="00454580" w:rsidRDefault="00361199" w:rsidP="00CB3AE3">
            <w:pPr>
              <w:jc w:val="center"/>
              <w:rPr>
                <w:rFonts w:eastAsia="Calibri" w:cs="Arial"/>
                <w:sz w:val="18"/>
                <w:szCs w:val="18"/>
              </w:rPr>
            </w:pPr>
          </w:p>
        </w:tc>
        <w:tc>
          <w:tcPr>
            <w:tcW w:w="1980" w:type="dxa"/>
            <w:gridSpan w:val="2"/>
            <w:shd w:val="clear" w:color="auto" w:fill="FFFFFF" w:themeFill="background1"/>
            <w:vAlign w:val="center"/>
          </w:tcPr>
          <w:p w:rsidR="00361199" w:rsidRPr="00454580" w:rsidRDefault="00361199" w:rsidP="001533AC">
            <w:pPr>
              <w:jc w:val="center"/>
              <w:rPr>
                <w:rFonts w:eastAsia="Calibri" w:cs="Arial"/>
                <w:sz w:val="18"/>
                <w:szCs w:val="18"/>
              </w:rPr>
            </w:pPr>
          </w:p>
        </w:tc>
        <w:tc>
          <w:tcPr>
            <w:tcW w:w="1638" w:type="dxa"/>
            <w:gridSpan w:val="2"/>
            <w:shd w:val="clear" w:color="auto" w:fill="FFFFFF" w:themeFill="background1"/>
            <w:vAlign w:val="center"/>
          </w:tcPr>
          <w:p w:rsidR="00361199" w:rsidRPr="00454580" w:rsidRDefault="00361199" w:rsidP="001533AC">
            <w:pPr>
              <w:jc w:val="center"/>
              <w:rPr>
                <w:rFonts w:eastAsia="Calibri" w:cs="Arial"/>
                <w:sz w:val="18"/>
                <w:szCs w:val="18"/>
              </w:rPr>
            </w:pPr>
          </w:p>
        </w:tc>
      </w:tr>
      <w:tr w:rsidR="00361199" w:rsidRPr="00151251" w:rsidTr="00370E17">
        <w:tc>
          <w:tcPr>
            <w:tcW w:w="1890" w:type="dxa"/>
            <w:shd w:val="clear" w:color="auto" w:fill="FFFFFF" w:themeFill="background1"/>
          </w:tcPr>
          <w:p w:rsidR="00361199" w:rsidRPr="00454580" w:rsidRDefault="00294570" w:rsidP="00361199">
            <w:pPr>
              <w:jc w:val="center"/>
              <w:rPr>
                <w:rFonts w:eastAsia="Calibri" w:cs="Arial"/>
                <w:sz w:val="18"/>
                <w:szCs w:val="18"/>
              </w:rPr>
            </w:pPr>
            <w:r>
              <w:rPr>
                <w:rFonts w:eastAsia="Calibri" w:cs="Arial"/>
                <w:sz w:val="18"/>
                <w:szCs w:val="18"/>
              </w:rPr>
              <w:t xml:space="preserve">Title </w:t>
            </w:r>
            <w:r w:rsidR="00A730F9" w:rsidRPr="00454580">
              <w:rPr>
                <w:rFonts w:eastAsia="Calibri" w:cs="Arial"/>
                <w:sz w:val="18"/>
                <w:szCs w:val="18"/>
              </w:rPr>
              <w:t>III</w:t>
            </w:r>
            <w:r>
              <w:rPr>
                <w:rFonts w:eastAsia="Calibri" w:cs="Arial"/>
                <w:sz w:val="18"/>
                <w:szCs w:val="18"/>
              </w:rPr>
              <w:t>-</w:t>
            </w:r>
            <w:r w:rsidR="00A730F9" w:rsidRPr="00454580">
              <w:rPr>
                <w:rFonts w:eastAsia="Calibri" w:cs="Arial"/>
                <w:sz w:val="18"/>
                <w:szCs w:val="18"/>
              </w:rPr>
              <w:t>B</w:t>
            </w:r>
          </w:p>
        </w:tc>
        <w:tc>
          <w:tcPr>
            <w:tcW w:w="3960" w:type="dxa"/>
            <w:shd w:val="clear" w:color="auto" w:fill="FFFFFF" w:themeFill="background1"/>
            <w:vAlign w:val="center"/>
          </w:tcPr>
          <w:p w:rsidR="003F1BFC" w:rsidRPr="00454580" w:rsidRDefault="00A730F9" w:rsidP="00CB3AE3">
            <w:pPr>
              <w:jc w:val="center"/>
              <w:rPr>
                <w:rFonts w:eastAsia="Calibri" w:cs="Arial"/>
                <w:sz w:val="18"/>
                <w:szCs w:val="18"/>
              </w:rPr>
            </w:pPr>
            <w:r w:rsidRPr="00454580">
              <w:rPr>
                <w:rFonts w:eastAsia="Calibri" w:cs="Arial"/>
                <w:sz w:val="18"/>
                <w:szCs w:val="18"/>
              </w:rPr>
              <w:t>Cleveland Clinic</w:t>
            </w:r>
            <w:r w:rsidR="003F7D46">
              <w:rPr>
                <w:rFonts w:eastAsia="Calibri" w:cs="Arial"/>
                <w:sz w:val="18"/>
                <w:szCs w:val="18"/>
              </w:rPr>
              <w:t xml:space="preserve"> Lou Ruvo Center </w:t>
            </w:r>
            <w:r w:rsidR="00D61988">
              <w:rPr>
                <w:rFonts w:eastAsia="Calibri" w:cs="Arial"/>
                <w:sz w:val="18"/>
                <w:szCs w:val="18"/>
              </w:rPr>
              <w:t>for Brain </w:t>
            </w:r>
            <w:r w:rsidR="003F7D46">
              <w:rPr>
                <w:rFonts w:eastAsia="Calibri" w:cs="Arial"/>
                <w:sz w:val="18"/>
                <w:szCs w:val="18"/>
              </w:rPr>
              <w:t>Health</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Diagnostic</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$83,088</w:t>
            </w:r>
          </w:p>
        </w:tc>
      </w:tr>
      <w:tr w:rsidR="00361199" w:rsidRPr="00151251" w:rsidTr="00370E17">
        <w:trPr>
          <w:trHeight w:val="360"/>
        </w:trPr>
        <w:tc>
          <w:tcPr>
            <w:tcW w:w="1890" w:type="dxa"/>
            <w:shd w:val="clear" w:color="auto" w:fill="FFFFFF" w:themeFill="background1"/>
          </w:tcPr>
          <w:p w:rsidR="00361199" w:rsidRPr="00454580" w:rsidRDefault="00294570" w:rsidP="00361199">
            <w:pPr>
              <w:jc w:val="center"/>
              <w:rPr>
                <w:rFonts w:eastAsia="Calibri" w:cs="Arial"/>
                <w:sz w:val="18"/>
                <w:szCs w:val="18"/>
              </w:rPr>
            </w:pPr>
            <w:r>
              <w:rPr>
                <w:rFonts w:eastAsia="Calibri" w:cs="Arial"/>
                <w:sz w:val="18"/>
                <w:szCs w:val="18"/>
              </w:rPr>
              <w:t xml:space="preserve">Title </w:t>
            </w:r>
            <w:r w:rsidR="00A730F9" w:rsidRPr="00454580">
              <w:rPr>
                <w:rFonts w:eastAsia="Calibri" w:cs="Arial"/>
                <w:sz w:val="18"/>
                <w:szCs w:val="18"/>
              </w:rPr>
              <w:t>III</w:t>
            </w:r>
            <w:r>
              <w:rPr>
                <w:rFonts w:eastAsia="Calibri" w:cs="Arial"/>
                <w:sz w:val="18"/>
                <w:szCs w:val="18"/>
              </w:rPr>
              <w:t>-</w:t>
            </w:r>
            <w:r w:rsidR="00A730F9" w:rsidRPr="00454580">
              <w:rPr>
                <w:rFonts w:eastAsia="Calibri" w:cs="Arial"/>
                <w:sz w:val="18"/>
                <w:szCs w:val="18"/>
              </w:rPr>
              <w:t>E</w:t>
            </w:r>
          </w:p>
        </w:tc>
        <w:tc>
          <w:tcPr>
            <w:tcW w:w="3960" w:type="dxa"/>
            <w:shd w:val="clear" w:color="auto" w:fill="FFFFFF" w:themeFill="background1"/>
            <w:vAlign w:val="center"/>
          </w:tcPr>
          <w:p w:rsidR="003F1BFC" w:rsidRPr="00454580" w:rsidRDefault="003F1BFC" w:rsidP="00CB3AE3">
            <w:pPr>
              <w:jc w:val="center"/>
              <w:rPr>
                <w:rFonts w:eastAsia="Calibri" w:cs="Arial"/>
                <w:sz w:val="18"/>
                <w:szCs w:val="18"/>
              </w:rPr>
            </w:pPr>
            <w:r>
              <w:rPr>
                <w:rFonts w:eastAsia="Calibri" w:cs="Arial"/>
                <w:sz w:val="18"/>
                <w:szCs w:val="18"/>
              </w:rPr>
              <w:t xml:space="preserve">University </w:t>
            </w:r>
            <w:r w:rsidR="00B24FAE">
              <w:rPr>
                <w:rFonts w:eastAsia="Calibri" w:cs="Arial"/>
                <w:sz w:val="18"/>
                <w:szCs w:val="18"/>
              </w:rPr>
              <w:t xml:space="preserve">of </w:t>
            </w:r>
            <w:r>
              <w:rPr>
                <w:rFonts w:eastAsia="Calibri" w:cs="Arial"/>
                <w:sz w:val="18"/>
                <w:szCs w:val="18"/>
              </w:rPr>
              <w:t>Nevada, Reno</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Caregiver Support</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$106,432</w:t>
            </w:r>
          </w:p>
        </w:tc>
      </w:tr>
      <w:tr w:rsidR="00361199" w:rsidRPr="00151251" w:rsidTr="00370E17">
        <w:trPr>
          <w:trHeight w:val="360"/>
        </w:trPr>
        <w:tc>
          <w:tcPr>
            <w:tcW w:w="1890" w:type="dxa"/>
            <w:shd w:val="clear" w:color="auto" w:fill="FFFFFF" w:themeFill="background1"/>
          </w:tcPr>
          <w:p w:rsidR="00361199" w:rsidRPr="00454580" w:rsidRDefault="00294570" w:rsidP="00361199">
            <w:pPr>
              <w:jc w:val="center"/>
              <w:rPr>
                <w:rFonts w:eastAsia="Calibri" w:cs="Arial"/>
                <w:sz w:val="18"/>
                <w:szCs w:val="18"/>
              </w:rPr>
            </w:pPr>
            <w:r>
              <w:rPr>
                <w:rFonts w:eastAsia="Calibri" w:cs="Arial"/>
                <w:sz w:val="18"/>
                <w:szCs w:val="18"/>
              </w:rPr>
              <w:lastRenderedPageBreak/>
              <w:t xml:space="preserve">Title </w:t>
            </w:r>
            <w:r w:rsidR="00A730F9" w:rsidRPr="00454580">
              <w:rPr>
                <w:rFonts w:eastAsia="Calibri" w:cs="Arial"/>
                <w:sz w:val="18"/>
                <w:szCs w:val="18"/>
              </w:rPr>
              <w:t>III</w:t>
            </w:r>
            <w:r>
              <w:rPr>
                <w:rFonts w:eastAsia="Calibri" w:cs="Arial"/>
                <w:sz w:val="18"/>
                <w:szCs w:val="18"/>
              </w:rPr>
              <w:t>-</w:t>
            </w:r>
            <w:r w:rsidR="00A730F9" w:rsidRPr="00454580">
              <w:rPr>
                <w:rFonts w:eastAsia="Calibri" w:cs="Arial"/>
                <w:sz w:val="18"/>
                <w:szCs w:val="18"/>
              </w:rPr>
              <w:t xml:space="preserve">E </w:t>
            </w:r>
          </w:p>
        </w:tc>
        <w:tc>
          <w:tcPr>
            <w:tcW w:w="3960" w:type="dxa"/>
            <w:shd w:val="clear" w:color="auto" w:fill="FFFFFF" w:themeFill="background1"/>
            <w:vAlign w:val="center"/>
          </w:tcPr>
          <w:p w:rsidR="003F1BFC" w:rsidRPr="00454580" w:rsidRDefault="00A730F9" w:rsidP="00CB3AE3">
            <w:pPr>
              <w:jc w:val="center"/>
              <w:rPr>
                <w:rFonts w:eastAsia="Calibri" w:cs="Arial"/>
                <w:sz w:val="18"/>
                <w:szCs w:val="18"/>
              </w:rPr>
            </w:pPr>
            <w:r w:rsidRPr="00454580">
              <w:rPr>
                <w:rFonts w:eastAsia="Calibri" w:cs="Arial"/>
                <w:sz w:val="18"/>
                <w:szCs w:val="18"/>
              </w:rPr>
              <w:t>Cleveland Clinic</w:t>
            </w:r>
            <w:r w:rsidR="00AB50D9">
              <w:rPr>
                <w:rFonts w:eastAsia="Calibri" w:cs="Arial"/>
                <w:sz w:val="18"/>
                <w:szCs w:val="18"/>
              </w:rPr>
              <w:t xml:space="preserve"> Lou Ruvo Center</w:t>
            </w:r>
            <w:r w:rsidR="00CB3AE3">
              <w:rPr>
                <w:rFonts w:eastAsia="Calibri" w:cs="Arial"/>
                <w:sz w:val="18"/>
                <w:szCs w:val="18"/>
              </w:rPr>
              <w:t xml:space="preserve"> </w:t>
            </w:r>
            <w:r w:rsidR="00D61988">
              <w:rPr>
                <w:rFonts w:eastAsia="Calibri" w:cs="Arial"/>
                <w:sz w:val="18"/>
                <w:szCs w:val="18"/>
              </w:rPr>
              <w:t>for </w:t>
            </w:r>
            <w:r w:rsidR="000D6883">
              <w:rPr>
                <w:rFonts w:eastAsia="Calibri" w:cs="Arial"/>
                <w:sz w:val="18"/>
                <w:szCs w:val="18"/>
              </w:rPr>
              <w:t>Brain</w:t>
            </w:r>
            <w:r w:rsidR="00D61988">
              <w:rPr>
                <w:rFonts w:eastAsia="Calibri" w:cs="Arial"/>
                <w:sz w:val="18"/>
                <w:szCs w:val="18"/>
              </w:rPr>
              <w:t> </w:t>
            </w:r>
            <w:r w:rsidR="000D6883">
              <w:rPr>
                <w:rFonts w:eastAsia="Calibri" w:cs="Arial"/>
                <w:sz w:val="18"/>
                <w:szCs w:val="18"/>
              </w:rPr>
              <w:t xml:space="preserve"> Health</w:t>
            </w:r>
          </w:p>
        </w:tc>
        <w:tc>
          <w:tcPr>
            <w:tcW w:w="1980"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Caregiver Support</w:t>
            </w:r>
          </w:p>
        </w:tc>
        <w:tc>
          <w:tcPr>
            <w:tcW w:w="1638" w:type="dxa"/>
            <w:gridSpan w:val="2"/>
            <w:shd w:val="clear" w:color="auto" w:fill="FFFFFF" w:themeFill="background1"/>
            <w:vAlign w:val="center"/>
          </w:tcPr>
          <w:p w:rsidR="00361199" w:rsidRPr="00454580" w:rsidRDefault="00A730F9" w:rsidP="001533AC">
            <w:pPr>
              <w:jc w:val="center"/>
              <w:rPr>
                <w:rFonts w:eastAsia="Calibri" w:cs="Arial"/>
                <w:sz w:val="18"/>
                <w:szCs w:val="18"/>
              </w:rPr>
            </w:pPr>
            <w:r w:rsidRPr="00454580">
              <w:rPr>
                <w:rFonts w:eastAsia="Calibri" w:cs="Arial"/>
                <w:sz w:val="18"/>
                <w:szCs w:val="18"/>
              </w:rPr>
              <w:t>$72,677</w:t>
            </w:r>
          </w:p>
        </w:tc>
      </w:tr>
      <w:tr w:rsidR="00CB3AE3" w:rsidRPr="00151251" w:rsidTr="00370E17">
        <w:trPr>
          <w:trHeight w:val="360"/>
        </w:trPr>
        <w:tc>
          <w:tcPr>
            <w:tcW w:w="1890" w:type="dxa"/>
            <w:shd w:val="clear" w:color="auto" w:fill="FFFFFF" w:themeFill="background1"/>
          </w:tcPr>
          <w:p w:rsidR="00CB3AE3" w:rsidRDefault="00CB3AE3" w:rsidP="00361199">
            <w:pPr>
              <w:jc w:val="center"/>
              <w:rPr>
                <w:rFonts w:eastAsia="Calibri" w:cs="Arial"/>
                <w:sz w:val="18"/>
                <w:szCs w:val="18"/>
              </w:rPr>
            </w:pPr>
          </w:p>
        </w:tc>
        <w:tc>
          <w:tcPr>
            <w:tcW w:w="3960" w:type="dxa"/>
            <w:shd w:val="clear" w:color="auto" w:fill="FFFFFF" w:themeFill="background1"/>
            <w:vAlign w:val="center"/>
          </w:tcPr>
          <w:p w:rsidR="00CB3AE3" w:rsidRPr="00454580" w:rsidRDefault="00CB3AE3" w:rsidP="00CB3AE3">
            <w:pPr>
              <w:jc w:val="center"/>
              <w:rPr>
                <w:rFonts w:eastAsia="Calibri" w:cs="Arial"/>
                <w:sz w:val="18"/>
                <w:szCs w:val="18"/>
              </w:rPr>
            </w:pPr>
          </w:p>
        </w:tc>
        <w:tc>
          <w:tcPr>
            <w:tcW w:w="1980" w:type="dxa"/>
            <w:gridSpan w:val="2"/>
            <w:shd w:val="clear" w:color="auto" w:fill="FFFFFF" w:themeFill="background1"/>
            <w:vAlign w:val="center"/>
          </w:tcPr>
          <w:p w:rsidR="00CB3AE3" w:rsidRPr="00CB3AE3" w:rsidRDefault="00CB3AE3" w:rsidP="001533AC">
            <w:pPr>
              <w:jc w:val="center"/>
              <w:rPr>
                <w:rFonts w:eastAsia="Calibri" w:cs="Arial"/>
                <w:b/>
                <w:sz w:val="18"/>
                <w:szCs w:val="18"/>
              </w:rPr>
            </w:pPr>
            <w:r w:rsidRPr="00CB3AE3">
              <w:rPr>
                <w:rFonts w:eastAsia="Calibri" w:cs="Arial"/>
                <w:b/>
                <w:sz w:val="20"/>
                <w:szCs w:val="20"/>
              </w:rPr>
              <w:t>Total</w:t>
            </w:r>
          </w:p>
        </w:tc>
        <w:tc>
          <w:tcPr>
            <w:tcW w:w="1638" w:type="dxa"/>
            <w:gridSpan w:val="2"/>
            <w:shd w:val="clear" w:color="auto" w:fill="FFFFFF" w:themeFill="background1"/>
            <w:vAlign w:val="center"/>
          </w:tcPr>
          <w:p w:rsidR="00CB3AE3" w:rsidRPr="00454580" w:rsidRDefault="00CB3AE3" w:rsidP="001533AC">
            <w:pPr>
              <w:jc w:val="center"/>
              <w:rPr>
                <w:rFonts w:eastAsia="Calibri" w:cs="Arial"/>
                <w:sz w:val="18"/>
                <w:szCs w:val="18"/>
              </w:rPr>
            </w:pPr>
            <w:r w:rsidRPr="00627C9D">
              <w:rPr>
                <w:rFonts w:eastAsia="Calibri" w:cs="Arial"/>
                <w:b/>
                <w:sz w:val="20"/>
                <w:szCs w:val="20"/>
              </w:rPr>
              <w:t>$673,930</w:t>
            </w:r>
          </w:p>
        </w:tc>
      </w:tr>
      <w:tr w:rsidR="004E02EF" w:rsidRPr="00454580" w:rsidTr="00083288">
        <w:trPr>
          <w:gridAfter w:val="1"/>
          <w:wAfter w:w="18" w:type="dxa"/>
          <w:trHeight w:val="720"/>
        </w:trPr>
        <w:tc>
          <w:tcPr>
            <w:tcW w:w="9450" w:type="dxa"/>
            <w:gridSpan w:val="5"/>
            <w:shd w:val="clear" w:color="auto" w:fill="D9D9D9" w:themeFill="background1" w:themeFillShade="D9"/>
            <w:vAlign w:val="center"/>
          </w:tcPr>
          <w:p w:rsidR="006055B2" w:rsidRPr="004E02EF" w:rsidRDefault="004E02EF" w:rsidP="005B6080">
            <w:pPr>
              <w:jc w:val="center"/>
              <w:rPr>
                <w:rFonts w:eastAsia="Calibri" w:cs="Arial"/>
                <w:sz w:val="20"/>
                <w:szCs w:val="20"/>
              </w:rPr>
            </w:pPr>
            <w:r w:rsidRPr="004E02EF">
              <w:rPr>
                <w:rFonts w:eastAsia="Calibri" w:cs="Arial"/>
                <w:b/>
                <w:sz w:val="20"/>
                <w:szCs w:val="20"/>
              </w:rPr>
              <w:t>Alzheimer’s Disease Supportive Services Program (ADSSP) FY</w:t>
            </w:r>
            <w:r w:rsidR="00AC754F">
              <w:rPr>
                <w:rFonts w:eastAsia="Calibri" w:cs="Arial"/>
                <w:b/>
                <w:sz w:val="20"/>
                <w:szCs w:val="20"/>
              </w:rPr>
              <w:t>s</w:t>
            </w:r>
            <w:r w:rsidRPr="004E02EF">
              <w:rPr>
                <w:rFonts w:eastAsia="Calibri" w:cs="Arial"/>
                <w:b/>
                <w:sz w:val="20"/>
                <w:szCs w:val="20"/>
              </w:rPr>
              <w:t xml:space="preserve"> </w:t>
            </w:r>
            <w:r>
              <w:rPr>
                <w:rFonts w:eastAsia="Calibri" w:cs="Arial"/>
                <w:b/>
                <w:sz w:val="20"/>
                <w:szCs w:val="20"/>
              </w:rPr>
              <w:t>2</w:t>
            </w:r>
            <w:r w:rsidRPr="004E02EF">
              <w:rPr>
                <w:rFonts w:eastAsia="Calibri" w:cs="Arial"/>
                <w:b/>
                <w:sz w:val="20"/>
                <w:szCs w:val="20"/>
              </w:rPr>
              <w:t>0</w:t>
            </w:r>
            <w:r>
              <w:rPr>
                <w:rFonts w:eastAsia="Calibri" w:cs="Arial"/>
                <w:b/>
                <w:sz w:val="20"/>
                <w:szCs w:val="20"/>
              </w:rPr>
              <w:t>10</w:t>
            </w:r>
            <w:r w:rsidRPr="004E02EF">
              <w:rPr>
                <w:rFonts w:eastAsia="Calibri" w:cs="Arial"/>
                <w:b/>
                <w:sz w:val="20"/>
                <w:szCs w:val="20"/>
              </w:rPr>
              <w:t>-</w:t>
            </w:r>
            <w:r>
              <w:rPr>
                <w:rFonts w:eastAsia="Calibri" w:cs="Arial"/>
                <w:b/>
                <w:sz w:val="20"/>
                <w:szCs w:val="20"/>
              </w:rPr>
              <w:t>20</w:t>
            </w:r>
            <w:r w:rsidRPr="004E02EF">
              <w:rPr>
                <w:rFonts w:eastAsia="Calibri" w:cs="Arial"/>
                <w:b/>
                <w:sz w:val="20"/>
                <w:szCs w:val="20"/>
              </w:rPr>
              <w:t>13</w:t>
            </w:r>
            <w:r w:rsidR="004955B4">
              <w:rPr>
                <w:rFonts w:eastAsia="Calibri" w:cs="Arial"/>
                <w:b/>
                <w:sz w:val="20"/>
                <w:szCs w:val="20"/>
              </w:rPr>
              <w:t>*</w:t>
            </w:r>
          </w:p>
        </w:tc>
      </w:tr>
      <w:tr w:rsidR="001C1E3C" w:rsidRPr="00454580" w:rsidTr="00370E17">
        <w:trPr>
          <w:gridAfter w:val="1"/>
          <w:wAfter w:w="18" w:type="dxa"/>
          <w:trHeight w:val="432"/>
        </w:trPr>
        <w:tc>
          <w:tcPr>
            <w:tcW w:w="6390" w:type="dxa"/>
            <w:gridSpan w:val="3"/>
            <w:shd w:val="clear" w:color="auto" w:fill="FFFFFF" w:themeFill="background1"/>
            <w:vAlign w:val="center"/>
          </w:tcPr>
          <w:p w:rsidR="001C1E3C" w:rsidRPr="006055B2" w:rsidRDefault="001C1E3C" w:rsidP="005B6080">
            <w:pPr>
              <w:jc w:val="center"/>
              <w:rPr>
                <w:rFonts w:eastAsia="Calibri" w:cs="Arial"/>
                <w:b/>
                <w:sz w:val="18"/>
                <w:szCs w:val="18"/>
                <w:u w:val="single"/>
              </w:rPr>
            </w:pPr>
            <w:r w:rsidRPr="006055B2">
              <w:rPr>
                <w:rFonts w:eastAsia="Calibri" w:cs="Arial"/>
                <w:b/>
                <w:sz w:val="18"/>
                <w:szCs w:val="18"/>
                <w:u w:val="single"/>
              </w:rPr>
              <w:t>Provider</w:t>
            </w:r>
          </w:p>
        </w:tc>
        <w:tc>
          <w:tcPr>
            <w:tcW w:w="1440" w:type="dxa"/>
            <w:shd w:val="clear" w:color="auto" w:fill="FFFFFF" w:themeFill="background1"/>
            <w:vAlign w:val="center"/>
          </w:tcPr>
          <w:p w:rsidR="001C1E3C" w:rsidRPr="006055B2" w:rsidRDefault="001C1E3C" w:rsidP="005B6080">
            <w:pPr>
              <w:jc w:val="center"/>
              <w:rPr>
                <w:rFonts w:eastAsia="Calibri" w:cs="Arial"/>
                <w:b/>
                <w:sz w:val="18"/>
                <w:szCs w:val="18"/>
                <w:u w:val="single"/>
              </w:rPr>
            </w:pPr>
            <w:r w:rsidRPr="006055B2">
              <w:rPr>
                <w:rFonts w:eastAsia="Calibri" w:cs="Arial"/>
                <w:b/>
                <w:sz w:val="18"/>
                <w:szCs w:val="18"/>
                <w:u w:val="single"/>
              </w:rPr>
              <w:t>Program</w:t>
            </w:r>
          </w:p>
        </w:tc>
        <w:tc>
          <w:tcPr>
            <w:tcW w:w="1620" w:type="dxa"/>
            <w:shd w:val="clear" w:color="auto" w:fill="FFFFFF" w:themeFill="background1"/>
            <w:vAlign w:val="center"/>
          </w:tcPr>
          <w:p w:rsidR="001C1E3C" w:rsidRPr="00454580" w:rsidRDefault="001C1E3C" w:rsidP="005B6080">
            <w:pPr>
              <w:jc w:val="center"/>
              <w:rPr>
                <w:rFonts w:eastAsia="Calibri" w:cs="Arial"/>
                <w:sz w:val="18"/>
                <w:szCs w:val="18"/>
              </w:rPr>
            </w:pPr>
            <w:r w:rsidRPr="006055B2">
              <w:rPr>
                <w:rFonts w:eastAsia="Calibri" w:cs="Arial"/>
                <w:b/>
                <w:sz w:val="18"/>
                <w:szCs w:val="18"/>
                <w:u w:val="single"/>
              </w:rPr>
              <w:t>Amount</w:t>
            </w:r>
          </w:p>
        </w:tc>
      </w:tr>
      <w:tr w:rsidR="00361199" w:rsidRPr="00454580" w:rsidTr="00370E17">
        <w:trPr>
          <w:gridAfter w:val="1"/>
          <w:wAfter w:w="18" w:type="dxa"/>
          <w:trHeight w:val="360"/>
        </w:trPr>
        <w:tc>
          <w:tcPr>
            <w:tcW w:w="6390" w:type="dxa"/>
            <w:gridSpan w:val="3"/>
            <w:shd w:val="clear" w:color="auto" w:fill="FFFFFF" w:themeFill="background1"/>
            <w:vAlign w:val="center"/>
          </w:tcPr>
          <w:p w:rsidR="000D6883" w:rsidRPr="00454580" w:rsidRDefault="00A730F9" w:rsidP="005B6080">
            <w:pPr>
              <w:rPr>
                <w:rFonts w:eastAsia="Calibri" w:cs="Arial"/>
                <w:sz w:val="18"/>
                <w:szCs w:val="18"/>
              </w:rPr>
            </w:pPr>
            <w:r w:rsidRPr="00454580">
              <w:rPr>
                <w:rFonts w:eastAsia="Calibri" w:cs="Arial"/>
                <w:sz w:val="18"/>
                <w:szCs w:val="18"/>
              </w:rPr>
              <w:t xml:space="preserve">Northern Nevada </w:t>
            </w:r>
            <w:r w:rsidR="007C2173">
              <w:rPr>
                <w:rFonts w:eastAsia="Calibri" w:cs="Arial"/>
                <w:sz w:val="18"/>
                <w:szCs w:val="18"/>
              </w:rPr>
              <w:t>Office,</w:t>
            </w:r>
            <w:r w:rsidR="006055B2">
              <w:rPr>
                <w:rFonts w:eastAsia="Calibri" w:cs="Arial"/>
                <w:sz w:val="18"/>
                <w:szCs w:val="18"/>
              </w:rPr>
              <w:t xml:space="preserve"> </w:t>
            </w:r>
            <w:r w:rsidRPr="00454580">
              <w:rPr>
                <w:rFonts w:eastAsia="Calibri" w:cs="Arial"/>
                <w:sz w:val="18"/>
                <w:szCs w:val="18"/>
              </w:rPr>
              <w:t>Alzheimer’s</w:t>
            </w:r>
            <w:r w:rsidR="007C2173">
              <w:rPr>
                <w:rFonts w:eastAsia="Calibri" w:cs="Arial"/>
                <w:sz w:val="18"/>
                <w:szCs w:val="18"/>
              </w:rPr>
              <w:t xml:space="preserve"> Association</w:t>
            </w:r>
          </w:p>
        </w:tc>
        <w:tc>
          <w:tcPr>
            <w:tcW w:w="144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CarePro</w:t>
            </w:r>
          </w:p>
        </w:tc>
        <w:tc>
          <w:tcPr>
            <w:tcW w:w="162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$227,900</w:t>
            </w:r>
          </w:p>
        </w:tc>
      </w:tr>
      <w:tr w:rsidR="00361199" w:rsidRPr="00454580" w:rsidTr="00370E17">
        <w:trPr>
          <w:gridAfter w:val="1"/>
          <w:wAfter w:w="18" w:type="dxa"/>
          <w:trHeight w:val="360"/>
        </w:trPr>
        <w:tc>
          <w:tcPr>
            <w:tcW w:w="6390" w:type="dxa"/>
            <w:gridSpan w:val="3"/>
            <w:shd w:val="clear" w:color="auto" w:fill="FFFFFF" w:themeFill="background1"/>
            <w:vAlign w:val="center"/>
          </w:tcPr>
          <w:p w:rsidR="000D6883" w:rsidRPr="00454580" w:rsidRDefault="007C2173" w:rsidP="005B6080">
            <w:pPr>
              <w:rPr>
                <w:rFonts w:eastAsia="Calibri" w:cs="Arial"/>
                <w:sz w:val="18"/>
                <w:szCs w:val="18"/>
              </w:rPr>
            </w:pPr>
            <w:r>
              <w:rPr>
                <w:rFonts w:eastAsia="Calibri" w:cs="Arial"/>
                <w:sz w:val="18"/>
                <w:szCs w:val="18"/>
              </w:rPr>
              <w:t>Desert Southw</w:t>
            </w:r>
            <w:r w:rsidR="00A730F9" w:rsidRPr="00454580">
              <w:rPr>
                <w:rFonts w:eastAsia="Calibri" w:cs="Arial"/>
                <w:sz w:val="18"/>
                <w:szCs w:val="18"/>
              </w:rPr>
              <w:t xml:space="preserve">est </w:t>
            </w:r>
            <w:r w:rsidR="001C1E3C">
              <w:rPr>
                <w:rFonts w:eastAsia="Calibri" w:cs="Arial"/>
                <w:sz w:val="18"/>
                <w:szCs w:val="18"/>
              </w:rPr>
              <w:t>Chapter,</w:t>
            </w:r>
            <w:r w:rsidR="006055B2">
              <w:rPr>
                <w:rFonts w:eastAsia="Calibri" w:cs="Arial"/>
                <w:sz w:val="18"/>
                <w:szCs w:val="18"/>
              </w:rPr>
              <w:t xml:space="preserve"> </w:t>
            </w:r>
            <w:r w:rsidR="00A730F9" w:rsidRPr="00454580">
              <w:rPr>
                <w:rFonts w:eastAsia="Calibri" w:cs="Arial"/>
                <w:sz w:val="18"/>
                <w:szCs w:val="18"/>
              </w:rPr>
              <w:t>Alzheimer’s</w:t>
            </w:r>
            <w:r w:rsidR="001C1E3C">
              <w:rPr>
                <w:rFonts w:eastAsia="Calibri" w:cs="Arial"/>
                <w:sz w:val="18"/>
                <w:szCs w:val="18"/>
              </w:rPr>
              <w:t xml:space="preserve"> Association</w:t>
            </w:r>
          </w:p>
        </w:tc>
        <w:tc>
          <w:tcPr>
            <w:tcW w:w="144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CarePro</w:t>
            </w:r>
          </w:p>
        </w:tc>
        <w:tc>
          <w:tcPr>
            <w:tcW w:w="162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$275,234</w:t>
            </w:r>
          </w:p>
        </w:tc>
      </w:tr>
      <w:tr w:rsidR="00361199" w:rsidRPr="00454580" w:rsidTr="00370E17">
        <w:trPr>
          <w:gridAfter w:val="1"/>
          <w:wAfter w:w="18" w:type="dxa"/>
          <w:trHeight w:val="360"/>
        </w:trPr>
        <w:tc>
          <w:tcPr>
            <w:tcW w:w="6390" w:type="dxa"/>
            <w:gridSpan w:val="3"/>
            <w:shd w:val="clear" w:color="auto" w:fill="FFFFFF" w:themeFill="background1"/>
            <w:vAlign w:val="center"/>
          </w:tcPr>
          <w:p w:rsidR="000D6883" w:rsidRPr="00454580" w:rsidRDefault="00A730F9" w:rsidP="005B6080">
            <w:pPr>
              <w:rPr>
                <w:rFonts w:eastAsia="Calibri" w:cs="Arial"/>
                <w:sz w:val="18"/>
                <w:szCs w:val="18"/>
              </w:rPr>
            </w:pPr>
            <w:r w:rsidRPr="00454580">
              <w:rPr>
                <w:rFonts w:eastAsia="Calibri" w:cs="Arial"/>
                <w:sz w:val="18"/>
                <w:szCs w:val="18"/>
              </w:rPr>
              <w:t>Cleveland Clinic Lou Ruvo Center for Brain Health</w:t>
            </w:r>
          </w:p>
        </w:tc>
        <w:tc>
          <w:tcPr>
            <w:tcW w:w="144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CarePro</w:t>
            </w:r>
          </w:p>
        </w:tc>
        <w:tc>
          <w:tcPr>
            <w:tcW w:w="162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$260,595</w:t>
            </w:r>
          </w:p>
        </w:tc>
      </w:tr>
      <w:tr w:rsidR="00361199" w:rsidRPr="00454580" w:rsidTr="00370E17">
        <w:trPr>
          <w:gridAfter w:val="1"/>
          <w:wAfter w:w="18" w:type="dxa"/>
          <w:trHeight w:val="360"/>
        </w:trPr>
        <w:tc>
          <w:tcPr>
            <w:tcW w:w="6390" w:type="dxa"/>
            <w:gridSpan w:val="3"/>
            <w:shd w:val="clear" w:color="auto" w:fill="FFFFFF" w:themeFill="background1"/>
            <w:vAlign w:val="center"/>
          </w:tcPr>
          <w:p w:rsidR="000D6883" w:rsidRPr="00454580" w:rsidRDefault="007255A1" w:rsidP="005B6080">
            <w:pPr>
              <w:rPr>
                <w:rFonts w:eastAsia="Calibri" w:cs="Arial"/>
                <w:sz w:val="18"/>
                <w:szCs w:val="18"/>
              </w:rPr>
            </w:pPr>
            <w:r>
              <w:rPr>
                <w:rFonts w:eastAsia="Calibri" w:cs="Arial"/>
                <w:sz w:val="18"/>
                <w:szCs w:val="18"/>
              </w:rPr>
              <w:t>Arizona State University</w:t>
            </w:r>
            <w:r w:rsidR="00AC754F">
              <w:rPr>
                <w:rFonts w:eastAsia="Calibri" w:cs="Arial"/>
                <w:sz w:val="18"/>
                <w:szCs w:val="18"/>
              </w:rPr>
              <w:t xml:space="preserve"> (R</w:t>
            </w:r>
            <w:r w:rsidR="00A730F9" w:rsidRPr="00454580">
              <w:rPr>
                <w:rFonts w:eastAsia="Calibri" w:cs="Arial"/>
                <w:sz w:val="18"/>
                <w:szCs w:val="18"/>
              </w:rPr>
              <w:t>esearch)</w:t>
            </w:r>
          </w:p>
        </w:tc>
        <w:tc>
          <w:tcPr>
            <w:tcW w:w="144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CarePro</w:t>
            </w:r>
          </w:p>
        </w:tc>
        <w:tc>
          <w:tcPr>
            <w:tcW w:w="1620" w:type="dxa"/>
            <w:shd w:val="clear" w:color="auto" w:fill="FFFFFF" w:themeFill="background1"/>
            <w:vAlign w:val="center"/>
          </w:tcPr>
          <w:p w:rsidR="00361199" w:rsidRPr="00454580" w:rsidRDefault="00A730F9" w:rsidP="005B6080">
            <w:pPr>
              <w:jc w:val="center"/>
              <w:rPr>
                <w:rFonts w:eastAsia="Calibri" w:cs="Arial"/>
                <w:sz w:val="18"/>
                <w:szCs w:val="18"/>
              </w:rPr>
            </w:pPr>
            <w:r w:rsidRPr="00454580">
              <w:rPr>
                <w:rFonts w:eastAsia="Calibri" w:cs="Arial"/>
                <w:sz w:val="18"/>
                <w:szCs w:val="18"/>
              </w:rPr>
              <w:t>$173,435</w:t>
            </w:r>
          </w:p>
        </w:tc>
      </w:tr>
      <w:tr w:rsidR="007255A1" w:rsidRPr="00454580" w:rsidTr="00FD7858">
        <w:trPr>
          <w:gridAfter w:val="1"/>
          <w:wAfter w:w="18" w:type="dxa"/>
          <w:trHeight w:val="360"/>
        </w:trPr>
        <w:tc>
          <w:tcPr>
            <w:tcW w:w="6390" w:type="dxa"/>
            <w:gridSpan w:val="3"/>
            <w:shd w:val="clear" w:color="auto" w:fill="FFFFFF" w:themeFill="background1"/>
            <w:vAlign w:val="center"/>
          </w:tcPr>
          <w:p w:rsidR="006055B2" w:rsidRDefault="006055B2" w:rsidP="00370E17">
            <w:pPr>
              <w:jc w:val="center"/>
              <w:rPr>
                <w:rFonts w:eastAsia="Calibri" w:cs="Arial"/>
                <w:sz w:val="18"/>
                <w:szCs w:val="18"/>
              </w:rPr>
            </w:pPr>
          </w:p>
        </w:tc>
        <w:tc>
          <w:tcPr>
            <w:tcW w:w="1440" w:type="dxa"/>
            <w:shd w:val="clear" w:color="auto" w:fill="FFFFFF" w:themeFill="background1"/>
            <w:vAlign w:val="center"/>
          </w:tcPr>
          <w:p w:rsidR="007255A1" w:rsidRPr="006055B2" w:rsidRDefault="007255A1" w:rsidP="00370E17">
            <w:pPr>
              <w:jc w:val="center"/>
              <w:rPr>
                <w:rFonts w:eastAsia="Calibri" w:cs="Arial"/>
                <w:b/>
                <w:sz w:val="18"/>
                <w:szCs w:val="18"/>
              </w:rPr>
            </w:pPr>
            <w:r w:rsidRPr="006055B2">
              <w:rPr>
                <w:rFonts w:eastAsia="Calibri" w:cs="Arial"/>
                <w:b/>
                <w:sz w:val="18"/>
                <w:szCs w:val="18"/>
              </w:rPr>
              <w:t>Total</w:t>
            </w:r>
          </w:p>
        </w:tc>
        <w:tc>
          <w:tcPr>
            <w:tcW w:w="1620" w:type="dxa"/>
            <w:shd w:val="clear" w:color="auto" w:fill="FFFFFF" w:themeFill="background1"/>
            <w:vAlign w:val="center"/>
          </w:tcPr>
          <w:p w:rsidR="007255A1" w:rsidRPr="00454580" w:rsidRDefault="007255A1" w:rsidP="00FD7858">
            <w:pPr>
              <w:spacing w:line="276" w:lineRule="auto"/>
              <w:jc w:val="center"/>
              <w:rPr>
                <w:rFonts w:eastAsia="Calibri" w:cs="Arial"/>
                <w:sz w:val="18"/>
                <w:szCs w:val="18"/>
              </w:rPr>
            </w:pPr>
            <w:r w:rsidRPr="00627C9D">
              <w:rPr>
                <w:rFonts w:eastAsia="Calibri" w:cs="Arial"/>
                <w:b/>
                <w:sz w:val="18"/>
                <w:szCs w:val="18"/>
              </w:rPr>
              <w:t>$937,164</w:t>
            </w:r>
          </w:p>
        </w:tc>
      </w:tr>
    </w:tbl>
    <w:p w:rsidR="009937EC" w:rsidRPr="004955B4" w:rsidRDefault="004955B4" w:rsidP="009937EC">
      <w:pPr>
        <w:spacing w:after="80" w:line="276" w:lineRule="auto"/>
        <w:rPr>
          <w:rFonts w:eastAsia="Calibri" w:cs="Arial"/>
          <w:sz w:val="18"/>
          <w:szCs w:val="18"/>
        </w:rPr>
      </w:pPr>
      <w:r w:rsidRPr="004955B4">
        <w:rPr>
          <w:rFonts w:eastAsia="Calibri" w:cs="Arial"/>
          <w:sz w:val="18"/>
          <w:szCs w:val="18"/>
        </w:rPr>
        <w:t>*</w:t>
      </w:r>
      <w:r>
        <w:rPr>
          <w:rFonts w:eastAsia="Calibri" w:cs="Arial"/>
          <w:sz w:val="18"/>
          <w:szCs w:val="18"/>
        </w:rPr>
        <w:t>Three-year discretionary grant f</w:t>
      </w:r>
      <w:r w:rsidR="009937EC" w:rsidRPr="004955B4">
        <w:rPr>
          <w:rFonts w:eastAsia="Calibri" w:cs="Arial"/>
          <w:sz w:val="18"/>
          <w:szCs w:val="18"/>
        </w:rPr>
        <w:t xml:space="preserve">rom </w:t>
      </w:r>
      <w:r w:rsidR="000E2A28">
        <w:rPr>
          <w:rFonts w:eastAsia="Calibri" w:cs="Arial"/>
          <w:sz w:val="18"/>
          <w:szCs w:val="18"/>
        </w:rPr>
        <w:t>the U.S. Administration on Aging</w:t>
      </w:r>
    </w:p>
    <w:p w:rsidR="009937EC" w:rsidRPr="004955B4" w:rsidRDefault="009937EC" w:rsidP="00AB074D">
      <w:pPr>
        <w:tabs>
          <w:tab w:val="left" w:pos="360"/>
          <w:tab w:val="left" w:pos="720"/>
          <w:tab w:val="left" w:pos="1080"/>
        </w:tabs>
        <w:jc w:val="both"/>
        <w:rPr>
          <w:rFonts w:eastAsia="Calibri" w:cs="Arial"/>
          <w:sz w:val="18"/>
          <w:szCs w:val="18"/>
        </w:rPr>
      </w:pPr>
    </w:p>
    <w:p w:rsidR="00D16CDF" w:rsidRPr="00B62337" w:rsidRDefault="006D11D2" w:rsidP="00AB074D">
      <w:pPr>
        <w:tabs>
          <w:tab w:val="left" w:pos="360"/>
          <w:tab w:val="left" w:pos="720"/>
          <w:tab w:val="left" w:pos="1080"/>
        </w:tabs>
        <w:jc w:val="both"/>
      </w:pPr>
      <w:r w:rsidRPr="00B62337">
        <w:t xml:space="preserve">Nevada is in position to compete for additional funding in this area.  </w:t>
      </w:r>
      <w:r w:rsidR="00746C9E" w:rsidRPr="00B62337">
        <w:t xml:space="preserve">Testimony presented to the Task Force indicated that </w:t>
      </w:r>
      <w:r w:rsidR="00D16CDF" w:rsidRPr="00B62337">
        <w:t xml:space="preserve">many different research initiatives </w:t>
      </w:r>
      <w:r w:rsidR="00704A52">
        <w:t xml:space="preserve">are </w:t>
      </w:r>
      <w:r w:rsidR="00D16CDF" w:rsidRPr="00B62337">
        <w:t xml:space="preserve">being undertaken, one of which is early detection.  </w:t>
      </w:r>
      <w:r w:rsidR="00FF31CD" w:rsidRPr="00B62337">
        <w:t xml:space="preserve">The </w:t>
      </w:r>
      <w:r w:rsidR="00407EEA">
        <w:rPr>
          <w:color w:val="363534"/>
        </w:rPr>
        <w:t>Cleveland Clinic</w:t>
      </w:r>
      <w:r w:rsidR="00FF31CD" w:rsidRPr="00B62337">
        <w:rPr>
          <w:color w:val="363534"/>
        </w:rPr>
        <w:t xml:space="preserve"> Lou Ruvo Center for Brain </w:t>
      </w:r>
      <w:r w:rsidR="003B12A4" w:rsidRPr="00B62337">
        <w:rPr>
          <w:color w:val="363534"/>
        </w:rPr>
        <w:t xml:space="preserve">Health </w:t>
      </w:r>
      <w:r w:rsidR="00D16CDF" w:rsidRPr="00B62337">
        <w:t xml:space="preserve">is involved in one of the national studies of brain imaging and a blood test for Alzheimer’s </w:t>
      </w:r>
      <w:r w:rsidR="008C0F66">
        <w:t>d</w:t>
      </w:r>
      <w:r w:rsidR="00D16CDF" w:rsidRPr="00B62337">
        <w:t xml:space="preserve">isease.  </w:t>
      </w:r>
      <w:r w:rsidR="00746C9E" w:rsidRPr="00B62337">
        <w:t>T</w:t>
      </w:r>
      <w:r w:rsidR="00727324">
        <w:t>he </w:t>
      </w:r>
      <w:r w:rsidR="00D67E1C" w:rsidRPr="00B62337">
        <w:t xml:space="preserve">early detection </w:t>
      </w:r>
      <w:r w:rsidR="003B12A4" w:rsidRPr="00B62337">
        <w:t>tests</w:t>
      </w:r>
      <w:r w:rsidR="00D67E1C" w:rsidRPr="00B62337">
        <w:t xml:space="preserve"> include</w:t>
      </w:r>
      <w:r w:rsidR="00D16CDF" w:rsidRPr="00B62337">
        <w:t>:</w:t>
      </w:r>
    </w:p>
    <w:p w:rsidR="00D16CDF" w:rsidRPr="00B62337" w:rsidRDefault="00D16CDF" w:rsidP="00AB074D">
      <w:pPr>
        <w:tabs>
          <w:tab w:val="left" w:pos="360"/>
          <w:tab w:val="left" w:pos="720"/>
          <w:tab w:val="left" w:pos="1080"/>
        </w:tabs>
        <w:jc w:val="both"/>
      </w:pPr>
    </w:p>
    <w:p w:rsidR="00D16CDF" w:rsidRDefault="00D16CDF" w:rsidP="00D67BA3">
      <w:pPr>
        <w:pStyle w:val="ListParagraph"/>
        <w:numPr>
          <w:ilvl w:val="0"/>
          <w:numId w:val="2"/>
        </w:numPr>
        <w:tabs>
          <w:tab w:val="left" w:pos="360"/>
          <w:tab w:val="left" w:pos="720"/>
          <w:tab w:val="left" w:pos="1080"/>
        </w:tabs>
        <w:contextualSpacing w:val="0"/>
        <w:jc w:val="both"/>
      </w:pPr>
      <w:r w:rsidRPr="00B62337">
        <w:t>Spinal fluid measuring of amyloid;</w:t>
      </w:r>
    </w:p>
    <w:p w:rsidR="008077C9" w:rsidRPr="00B62337" w:rsidRDefault="008077C9" w:rsidP="008077C9">
      <w:pPr>
        <w:tabs>
          <w:tab w:val="left" w:pos="360"/>
          <w:tab w:val="left" w:pos="720"/>
          <w:tab w:val="left" w:pos="1080"/>
        </w:tabs>
        <w:ind w:left="360"/>
        <w:jc w:val="both"/>
      </w:pPr>
    </w:p>
    <w:p w:rsidR="00D16CDF" w:rsidRDefault="00D16CDF" w:rsidP="00D67BA3">
      <w:pPr>
        <w:pStyle w:val="ListParagraph"/>
        <w:numPr>
          <w:ilvl w:val="0"/>
          <w:numId w:val="2"/>
        </w:numPr>
        <w:tabs>
          <w:tab w:val="left" w:pos="360"/>
          <w:tab w:val="left" w:pos="720"/>
          <w:tab w:val="left" w:pos="1080"/>
        </w:tabs>
        <w:contextualSpacing w:val="0"/>
        <w:jc w:val="both"/>
      </w:pPr>
      <w:r w:rsidRPr="00B62337">
        <w:t>Imaging amyloid in the brain through a scan; and</w:t>
      </w:r>
    </w:p>
    <w:p w:rsidR="008077C9" w:rsidRPr="00B62337" w:rsidRDefault="008077C9" w:rsidP="008077C9">
      <w:pPr>
        <w:tabs>
          <w:tab w:val="left" w:pos="360"/>
          <w:tab w:val="left" w:pos="720"/>
          <w:tab w:val="left" w:pos="1080"/>
        </w:tabs>
        <w:ind w:left="360"/>
        <w:jc w:val="both"/>
      </w:pPr>
    </w:p>
    <w:p w:rsidR="00D16CDF" w:rsidRPr="00B62337" w:rsidRDefault="00D16CDF" w:rsidP="00D67BA3">
      <w:pPr>
        <w:pStyle w:val="ListParagraph"/>
        <w:numPr>
          <w:ilvl w:val="0"/>
          <w:numId w:val="2"/>
        </w:numPr>
        <w:tabs>
          <w:tab w:val="left" w:pos="360"/>
          <w:tab w:val="left" w:pos="720"/>
          <w:tab w:val="left" w:pos="1080"/>
        </w:tabs>
        <w:contextualSpacing w:val="0"/>
        <w:jc w:val="both"/>
      </w:pPr>
      <w:r w:rsidRPr="00B62337">
        <w:t xml:space="preserve">Testing to measure the volumes of the brain, because when certain areas of the brain start shrinking, it </w:t>
      </w:r>
      <w:r w:rsidR="008C0F66">
        <w:t>has been found to be</w:t>
      </w:r>
      <w:r w:rsidRPr="00B62337">
        <w:t xml:space="preserve"> an indicator of Alzheimer’s </w:t>
      </w:r>
      <w:r w:rsidR="008C0F66">
        <w:t>d</w:t>
      </w:r>
      <w:r w:rsidRPr="00B62337">
        <w:t>isease.</w:t>
      </w:r>
      <w:r w:rsidR="00DF4F4C" w:rsidRPr="00B62337">
        <w:rPr>
          <w:rStyle w:val="EndnoteReference"/>
        </w:rPr>
        <w:endnoteReference w:id="22"/>
      </w:r>
    </w:p>
    <w:p w:rsidR="00D16CDF" w:rsidRPr="00B62337" w:rsidRDefault="00D16CDF" w:rsidP="008077C9">
      <w:pPr>
        <w:tabs>
          <w:tab w:val="left" w:pos="360"/>
          <w:tab w:val="left" w:pos="720"/>
          <w:tab w:val="left" w:pos="1080"/>
        </w:tabs>
        <w:jc w:val="both"/>
      </w:pPr>
    </w:p>
    <w:p w:rsidR="00D67E1C" w:rsidRPr="00B62337" w:rsidRDefault="00FC2165" w:rsidP="00AB074D">
      <w:pPr>
        <w:tabs>
          <w:tab w:val="left" w:pos="360"/>
          <w:tab w:val="left" w:pos="720"/>
          <w:tab w:val="left" w:pos="1080"/>
        </w:tabs>
        <w:jc w:val="both"/>
      </w:pPr>
      <w:r w:rsidRPr="00B62337">
        <w:t xml:space="preserve">In addition, </w:t>
      </w:r>
      <w:r w:rsidR="00D67E1C" w:rsidRPr="00B62337">
        <w:t>various</w:t>
      </w:r>
      <w:r w:rsidR="00D16CDF" w:rsidRPr="00B62337">
        <w:t xml:space="preserve"> treatment st</w:t>
      </w:r>
      <w:r w:rsidR="00D67E1C" w:rsidRPr="00B62337">
        <w:t xml:space="preserve">rategies and prevention trials </w:t>
      </w:r>
      <w:r w:rsidR="00D16CDF" w:rsidRPr="00B62337">
        <w:t xml:space="preserve">are being undertaken.  </w:t>
      </w:r>
    </w:p>
    <w:p w:rsidR="00D67E1C" w:rsidRPr="00B62337" w:rsidRDefault="00D67E1C" w:rsidP="00AB074D">
      <w:pPr>
        <w:tabs>
          <w:tab w:val="left" w:pos="360"/>
          <w:tab w:val="left" w:pos="720"/>
          <w:tab w:val="left" w:pos="1080"/>
        </w:tabs>
        <w:jc w:val="both"/>
      </w:pPr>
    </w:p>
    <w:p w:rsidR="00D67E1C" w:rsidRPr="00B62337" w:rsidRDefault="00D67E1C" w:rsidP="00AB074D">
      <w:pPr>
        <w:tabs>
          <w:tab w:val="left" w:pos="360"/>
          <w:tab w:val="left" w:pos="720"/>
          <w:tab w:val="left" w:pos="1080"/>
        </w:tabs>
        <w:jc w:val="both"/>
      </w:pPr>
      <w:r w:rsidRPr="00B62337">
        <w:t>Several issues limit research trials in Nevada and across the country, including:</w:t>
      </w:r>
    </w:p>
    <w:p w:rsidR="00D67E1C" w:rsidRPr="00B62337" w:rsidRDefault="00D67E1C" w:rsidP="00AB074D">
      <w:pPr>
        <w:tabs>
          <w:tab w:val="left" w:pos="360"/>
          <w:tab w:val="left" w:pos="720"/>
          <w:tab w:val="left" w:pos="1080"/>
        </w:tabs>
        <w:jc w:val="both"/>
      </w:pPr>
    </w:p>
    <w:p w:rsidR="008D1687" w:rsidRDefault="00D67E1C" w:rsidP="00D67BA3">
      <w:pPr>
        <w:pStyle w:val="ListParagraph"/>
        <w:numPr>
          <w:ilvl w:val="0"/>
          <w:numId w:val="3"/>
        </w:numPr>
        <w:tabs>
          <w:tab w:val="left" w:pos="360"/>
          <w:tab w:val="left" w:pos="720"/>
          <w:tab w:val="left" w:pos="1080"/>
        </w:tabs>
        <w:jc w:val="both"/>
      </w:pPr>
      <w:r w:rsidRPr="00B62337">
        <w:t xml:space="preserve">Challenges </w:t>
      </w:r>
      <w:r w:rsidR="00704A52">
        <w:t>to</w:t>
      </w:r>
      <w:r w:rsidRPr="00B62337">
        <w:t xml:space="preserve"> enrolling enough people </w:t>
      </w:r>
      <w:r w:rsidR="0065043F" w:rsidRPr="00B62337">
        <w:t xml:space="preserve">who are representative of the </w:t>
      </w:r>
      <w:r w:rsidR="005C6D1E" w:rsidRPr="00B62337">
        <w:t>country’s</w:t>
      </w:r>
      <w:r w:rsidR="0065043F" w:rsidRPr="00B62337">
        <w:t xml:space="preserve"> </w:t>
      </w:r>
      <w:r w:rsidR="005C6D1E" w:rsidRPr="00B62337">
        <w:t>population</w:t>
      </w:r>
      <w:r w:rsidR="00866836">
        <w:t xml:space="preserve">, </w:t>
      </w:r>
      <w:r w:rsidR="00866836" w:rsidRPr="00B62337">
        <w:t>in research trials</w:t>
      </w:r>
      <w:r w:rsidR="0065043F" w:rsidRPr="00B62337">
        <w:t>;</w:t>
      </w:r>
    </w:p>
    <w:p w:rsidR="008077C9" w:rsidRPr="00B62337" w:rsidRDefault="008077C9" w:rsidP="008077C9">
      <w:pPr>
        <w:tabs>
          <w:tab w:val="left" w:pos="360"/>
          <w:tab w:val="left" w:pos="720"/>
          <w:tab w:val="left" w:pos="1080"/>
        </w:tabs>
        <w:ind w:left="360"/>
        <w:jc w:val="both"/>
      </w:pPr>
    </w:p>
    <w:p w:rsidR="0065043F" w:rsidRDefault="0065043F" w:rsidP="00D67BA3">
      <w:pPr>
        <w:pStyle w:val="ListParagraph"/>
        <w:numPr>
          <w:ilvl w:val="0"/>
          <w:numId w:val="3"/>
        </w:numPr>
        <w:tabs>
          <w:tab w:val="left" w:pos="360"/>
          <w:tab w:val="left" w:pos="720"/>
          <w:tab w:val="left" w:pos="1080"/>
        </w:tabs>
        <w:jc w:val="both"/>
      </w:pPr>
      <w:r w:rsidRPr="00B62337">
        <w:t>L</w:t>
      </w:r>
      <w:r w:rsidR="00D16CDF" w:rsidRPr="00B62337">
        <w:t>imited research in basic science in Nevada</w:t>
      </w:r>
      <w:r w:rsidR="008077C9">
        <w:t>;</w:t>
      </w:r>
      <w:r w:rsidR="00D16CDF" w:rsidRPr="00B62337">
        <w:t xml:space="preserve"> and </w:t>
      </w:r>
    </w:p>
    <w:p w:rsidR="008077C9" w:rsidRPr="00B62337" w:rsidRDefault="008077C9" w:rsidP="008077C9">
      <w:pPr>
        <w:tabs>
          <w:tab w:val="left" w:pos="360"/>
          <w:tab w:val="left" w:pos="720"/>
          <w:tab w:val="left" w:pos="1080"/>
        </w:tabs>
        <w:ind w:left="360"/>
        <w:jc w:val="both"/>
      </w:pPr>
    </w:p>
    <w:p w:rsidR="00D16CDF" w:rsidRPr="00B62337" w:rsidRDefault="005C6D1E" w:rsidP="00D67BA3">
      <w:pPr>
        <w:pStyle w:val="ListParagraph"/>
        <w:numPr>
          <w:ilvl w:val="0"/>
          <w:numId w:val="3"/>
        </w:numPr>
        <w:tabs>
          <w:tab w:val="left" w:pos="360"/>
          <w:tab w:val="left" w:pos="720"/>
          <w:tab w:val="left" w:pos="1080"/>
        </w:tabs>
        <w:jc w:val="both"/>
      </w:pPr>
      <w:r w:rsidRPr="00B62337">
        <w:t xml:space="preserve">No </w:t>
      </w:r>
      <w:r w:rsidR="00D16CDF" w:rsidRPr="00B62337">
        <w:t xml:space="preserve">biotech companies </w:t>
      </w:r>
      <w:r w:rsidRPr="00B62337">
        <w:t>in Nevada</w:t>
      </w:r>
      <w:r w:rsidR="0065043F" w:rsidRPr="00B62337">
        <w:t xml:space="preserve"> </w:t>
      </w:r>
      <w:r w:rsidR="00D16CDF" w:rsidRPr="00B62337">
        <w:t xml:space="preserve">focused on </w:t>
      </w:r>
      <w:r w:rsidRPr="00B62337">
        <w:t xml:space="preserve">Alzheimer’s </w:t>
      </w:r>
      <w:r w:rsidR="008C0F66">
        <w:t>d</w:t>
      </w:r>
      <w:r w:rsidR="0065043F" w:rsidRPr="00B62337">
        <w:t xml:space="preserve">isease and </w:t>
      </w:r>
      <w:r w:rsidR="002371C4">
        <w:t>related disorders</w:t>
      </w:r>
      <w:r w:rsidR="0065043F" w:rsidRPr="00B62337">
        <w:t xml:space="preserve">.  </w:t>
      </w:r>
    </w:p>
    <w:p w:rsidR="00822E75" w:rsidRPr="00B62337" w:rsidRDefault="00822E75" w:rsidP="00AB074D">
      <w:pPr>
        <w:tabs>
          <w:tab w:val="left" w:pos="360"/>
          <w:tab w:val="left" w:pos="720"/>
          <w:tab w:val="left" w:pos="1080"/>
        </w:tabs>
        <w:jc w:val="both"/>
      </w:pPr>
    </w:p>
    <w:p w:rsidR="00130056" w:rsidRDefault="008D1687" w:rsidP="00130056">
      <w:pPr>
        <w:tabs>
          <w:tab w:val="left" w:pos="360"/>
          <w:tab w:val="left" w:pos="720"/>
          <w:tab w:val="left" w:pos="1080"/>
        </w:tabs>
        <w:jc w:val="both"/>
      </w:pPr>
      <w:r w:rsidRPr="00B62337">
        <w:t xml:space="preserve">To increase </w:t>
      </w:r>
      <w:r w:rsidR="00592EA5" w:rsidRPr="00B62337">
        <w:t>research efforts in Nevada</w:t>
      </w:r>
      <w:r w:rsidR="00EA1655">
        <w:t>,</w:t>
      </w:r>
      <w:r w:rsidRPr="00B62337">
        <w:t xml:space="preserve"> the Task Force </w:t>
      </w:r>
      <w:r w:rsidR="003B12A4" w:rsidRPr="00B62337">
        <w:t>discussed</w:t>
      </w:r>
      <w:r w:rsidRPr="00B62337">
        <w:t xml:space="preserve"> the </w:t>
      </w:r>
      <w:r w:rsidR="003B12A4" w:rsidRPr="00B62337">
        <w:t>need for</w:t>
      </w:r>
      <w:r w:rsidRPr="00B62337">
        <w:t xml:space="preserve"> greater education</w:t>
      </w:r>
      <w:r w:rsidR="00D84269" w:rsidRPr="00B62337">
        <w:t xml:space="preserve"> </w:t>
      </w:r>
      <w:r w:rsidR="00BE7D72" w:rsidRPr="00B62337">
        <w:t xml:space="preserve">and promotion </w:t>
      </w:r>
      <w:r w:rsidR="00866836" w:rsidRPr="00B62337">
        <w:t xml:space="preserve">about clinical trials </w:t>
      </w:r>
      <w:r w:rsidR="00D84269" w:rsidRPr="00B62337">
        <w:t>within the health</w:t>
      </w:r>
      <w:r w:rsidR="00166691">
        <w:t xml:space="preserve"> </w:t>
      </w:r>
      <w:r w:rsidR="00D84269" w:rsidRPr="00B62337">
        <w:t>care system; the</w:t>
      </w:r>
      <w:r w:rsidRPr="00B62337">
        <w:t xml:space="preserve"> </w:t>
      </w:r>
      <w:r w:rsidR="00A56B79">
        <w:t>development of </w:t>
      </w:r>
      <w:r w:rsidR="00D84269" w:rsidRPr="00B62337">
        <w:t>new partnerships</w:t>
      </w:r>
      <w:r w:rsidRPr="00B62337">
        <w:t xml:space="preserve"> and outreach</w:t>
      </w:r>
      <w:r w:rsidR="00D84269" w:rsidRPr="00B62337">
        <w:t>;</w:t>
      </w:r>
      <w:r w:rsidRPr="00B62337">
        <w:t xml:space="preserve"> and the need to </w:t>
      </w:r>
      <w:r w:rsidR="00D84269" w:rsidRPr="00B62337">
        <w:t>identify</w:t>
      </w:r>
      <w:r w:rsidRPr="00B62337">
        <w:t xml:space="preserve"> and remove</w:t>
      </w:r>
      <w:r w:rsidR="00D16CDF" w:rsidRPr="00B62337">
        <w:t xml:space="preserve"> barriers </w:t>
      </w:r>
      <w:r w:rsidR="00BE7D72" w:rsidRPr="00B62337">
        <w:t>that limit people with dementia from</w:t>
      </w:r>
      <w:r w:rsidR="00D16CDF" w:rsidRPr="00B62337">
        <w:t xml:space="preserve"> enroll</w:t>
      </w:r>
      <w:r w:rsidR="00BE7D72" w:rsidRPr="00B62337">
        <w:t>ing</w:t>
      </w:r>
      <w:r w:rsidR="00D16CDF" w:rsidRPr="00B62337">
        <w:t xml:space="preserve"> in studies</w:t>
      </w:r>
      <w:r w:rsidR="00BE7D72" w:rsidRPr="00B62337">
        <w:t xml:space="preserve"> or trials</w:t>
      </w:r>
    </w:p>
    <w:p w:rsidR="00EA1655" w:rsidRPr="00B62337" w:rsidRDefault="00EA1655" w:rsidP="00130056">
      <w:pPr>
        <w:tabs>
          <w:tab w:val="left" w:pos="360"/>
          <w:tab w:val="left" w:pos="720"/>
          <w:tab w:val="left" w:pos="1080"/>
        </w:tabs>
        <w:jc w:val="both"/>
      </w:pPr>
    </w:p>
    <w:p w:rsidR="00130056" w:rsidRDefault="00130056" w:rsidP="00130056">
      <w:pPr>
        <w:tabs>
          <w:tab w:val="left" w:pos="360"/>
          <w:tab w:val="left" w:pos="720"/>
          <w:tab w:val="left" w:pos="1080"/>
        </w:tabs>
        <w:jc w:val="both"/>
      </w:pPr>
      <w:r w:rsidRPr="00C34E19">
        <w:rPr>
          <w:b/>
        </w:rPr>
        <w:lastRenderedPageBreak/>
        <w:t>Recommendation</w:t>
      </w:r>
      <w:r w:rsidR="006964E4">
        <w:rPr>
          <w:b/>
        </w:rPr>
        <w:t xml:space="preserve"> 7</w:t>
      </w:r>
      <w:r w:rsidRPr="00C34E19">
        <w:rPr>
          <w:b/>
        </w:rPr>
        <w:t>:</w:t>
      </w:r>
      <w:r w:rsidRPr="00B62337">
        <w:t xml:space="preserve"> </w:t>
      </w:r>
      <w:r w:rsidR="00EA1655">
        <w:t xml:space="preserve"> </w:t>
      </w:r>
      <w:r w:rsidR="00C34E19" w:rsidRPr="00B62337">
        <w:t xml:space="preserve">Establish a </w:t>
      </w:r>
      <w:r w:rsidR="00C34E19">
        <w:t xml:space="preserve">Nevada </w:t>
      </w:r>
      <w:r w:rsidR="00F745EC">
        <w:t xml:space="preserve">consortium to promote </w:t>
      </w:r>
      <w:r w:rsidR="00C34E19">
        <w:t xml:space="preserve">current and future </w:t>
      </w:r>
      <w:r w:rsidR="00C34E19" w:rsidRPr="00B62337">
        <w:t xml:space="preserve">research </w:t>
      </w:r>
      <w:r w:rsidR="00C34E19">
        <w:t>in our State</w:t>
      </w:r>
      <w:r w:rsidR="006A37E6">
        <w:t>.</w:t>
      </w:r>
      <w:r w:rsidR="00C34E19" w:rsidRPr="00B62337">
        <w:t xml:space="preserve"> </w:t>
      </w:r>
      <w:r w:rsidR="00F745EC">
        <w:t xml:space="preserve">Develop a specific Alzheimer’s research website that contains information about current research and a registry that allows individuals to </w:t>
      </w:r>
      <w:r w:rsidR="006D7DF7">
        <w:t xml:space="preserve">register to </w:t>
      </w:r>
      <w:r w:rsidR="00F745EC">
        <w:t>participate in clinical research.</w:t>
      </w:r>
      <w:r w:rsidR="00D64A41">
        <w:t xml:space="preserve"> </w:t>
      </w:r>
      <w:r w:rsidR="009D6E53">
        <w:t xml:space="preserve"> </w:t>
      </w:r>
    </w:p>
    <w:p w:rsidR="00F745EC" w:rsidRPr="00B62337" w:rsidRDefault="00F745EC" w:rsidP="00130056">
      <w:pPr>
        <w:tabs>
          <w:tab w:val="left" w:pos="360"/>
          <w:tab w:val="left" w:pos="720"/>
          <w:tab w:val="left" w:pos="1080"/>
        </w:tabs>
        <w:jc w:val="both"/>
      </w:pPr>
    </w:p>
    <w:p w:rsidR="000A3F41" w:rsidRPr="00B62337" w:rsidRDefault="000A3F41" w:rsidP="00130056">
      <w:pPr>
        <w:tabs>
          <w:tab w:val="left" w:pos="360"/>
          <w:tab w:val="left" w:pos="720"/>
          <w:tab w:val="left" w:pos="1080"/>
        </w:tabs>
        <w:jc w:val="both"/>
        <w:rPr>
          <w:iCs/>
        </w:rPr>
      </w:pPr>
      <w:r w:rsidRPr="00B62337">
        <w:rPr>
          <w:b/>
          <w:iCs/>
        </w:rPr>
        <w:t>Indicators:</w:t>
      </w:r>
      <w:r w:rsidR="00455434" w:rsidRPr="00B62337">
        <w:rPr>
          <w:iCs/>
        </w:rPr>
        <w:t xml:space="preserve"> </w:t>
      </w:r>
      <w:r w:rsidR="00EA1655">
        <w:rPr>
          <w:iCs/>
        </w:rPr>
        <w:t xml:space="preserve"> </w:t>
      </w:r>
      <w:r w:rsidR="00D146A4">
        <w:rPr>
          <w:iCs/>
        </w:rPr>
        <w:t>E</w:t>
      </w:r>
      <w:r w:rsidR="00455434" w:rsidRPr="00B62337">
        <w:rPr>
          <w:iCs/>
        </w:rPr>
        <w:t xml:space="preserve">stablish </w:t>
      </w:r>
      <w:r w:rsidR="00BE32BE">
        <w:rPr>
          <w:iCs/>
        </w:rPr>
        <w:t xml:space="preserve">a </w:t>
      </w:r>
      <w:r w:rsidR="00455434" w:rsidRPr="00B62337">
        <w:rPr>
          <w:iCs/>
        </w:rPr>
        <w:t xml:space="preserve">facilitator and </w:t>
      </w:r>
      <w:r w:rsidR="00130056" w:rsidRPr="00B62337">
        <w:rPr>
          <w:iCs/>
        </w:rPr>
        <w:t>key consortium partners</w:t>
      </w:r>
      <w:r w:rsidR="00EA1655">
        <w:rPr>
          <w:iCs/>
        </w:rPr>
        <w:t>.</w:t>
      </w:r>
      <w:r w:rsidR="00F745EC">
        <w:rPr>
          <w:iCs/>
        </w:rPr>
        <w:t xml:space="preserve">  </w:t>
      </w:r>
      <w:r w:rsidR="00F745EC" w:rsidRPr="00B62337">
        <w:rPr>
          <w:iCs/>
        </w:rPr>
        <w:t xml:space="preserve">Compile </w:t>
      </w:r>
      <w:r w:rsidR="00F745EC">
        <w:rPr>
          <w:iCs/>
        </w:rPr>
        <w:t xml:space="preserve">a </w:t>
      </w:r>
      <w:r w:rsidR="00F745EC" w:rsidRPr="00B62337">
        <w:rPr>
          <w:iCs/>
        </w:rPr>
        <w:t>list of current research projects</w:t>
      </w:r>
      <w:r w:rsidR="00F745EC">
        <w:rPr>
          <w:iCs/>
        </w:rPr>
        <w:t>.</w:t>
      </w:r>
    </w:p>
    <w:p w:rsidR="00130056" w:rsidRPr="00B62337" w:rsidRDefault="00130056" w:rsidP="00130056">
      <w:pPr>
        <w:tabs>
          <w:tab w:val="left" w:pos="360"/>
          <w:tab w:val="left" w:pos="720"/>
          <w:tab w:val="left" w:pos="1080"/>
        </w:tabs>
        <w:jc w:val="both"/>
      </w:pPr>
    </w:p>
    <w:p w:rsidR="00130056" w:rsidRPr="00B62337" w:rsidRDefault="001C6174" w:rsidP="00130056">
      <w:pPr>
        <w:tabs>
          <w:tab w:val="left" w:pos="360"/>
          <w:tab w:val="left" w:pos="720"/>
          <w:tab w:val="left" w:pos="1080"/>
        </w:tabs>
        <w:jc w:val="both"/>
        <w:rPr>
          <w:b/>
          <w:iCs/>
        </w:rPr>
      </w:pPr>
      <w:r w:rsidRPr="00B62337">
        <w:rPr>
          <w:b/>
          <w:iCs/>
        </w:rPr>
        <w:t>Potential Funding:</w:t>
      </w:r>
      <w:r w:rsidR="00C90AC0">
        <w:rPr>
          <w:b/>
          <w:iCs/>
        </w:rPr>
        <w:t xml:space="preserve"> </w:t>
      </w:r>
      <w:r w:rsidR="002C6A97" w:rsidRPr="00B62337">
        <w:rPr>
          <w:b/>
          <w:iCs/>
        </w:rPr>
        <w:t xml:space="preserve"> </w:t>
      </w:r>
      <w:r w:rsidR="002C6A97" w:rsidRPr="00C90AC0">
        <w:rPr>
          <w:iCs/>
        </w:rPr>
        <w:t xml:space="preserve">In-kind </w:t>
      </w:r>
      <w:r w:rsidR="008C0283" w:rsidRPr="00C90AC0">
        <w:rPr>
          <w:iCs/>
        </w:rPr>
        <w:t>contributions from potential participants</w:t>
      </w:r>
      <w:r w:rsidR="00C90AC0">
        <w:rPr>
          <w:iCs/>
        </w:rPr>
        <w:t>,</w:t>
      </w:r>
      <w:r w:rsidR="008C0283" w:rsidRPr="00C90AC0">
        <w:rPr>
          <w:iCs/>
        </w:rPr>
        <w:t xml:space="preserve"> i.e.</w:t>
      </w:r>
      <w:r w:rsidR="00C90AC0">
        <w:rPr>
          <w:iCs/>
        </w:rPr>
        <w:t>,</w:t>
      </w:r>
      <w:r w:rsidR="008C0283" w:rsidRPr="00C90AC0">
        <w:rPr>
          <w:iCs/>
        </w:rPr>
        <w:t xml:space="preserve"> Cleveland Clinic</w:t>
      </w:r>
      <w:r w:rsidR="00746D7E">
        <w:rPr>
          <w:iCs/>
        </w:rPr>
        <w:t>’</w:t>
      </w:r>
      <w:r w:rsidR="008C0283" w:rsidRPr="00C90AC0">
        <w:rPr>
          <w:iCs/>
        </w:rPr>
        <w:t>s Lou Ruvo Cent</w:t>
      </w:r>
      <w:r w:rsidR="00B6646A">
        <w:rPr>
          <w:iCs/>
        </w:rPr>
        <w:t>er for Brain Health</w:t>
      </w:r>
      <w:r w:rsidR="008C0283" w:rsidRPr="00C90AC0">
        <w:rPr>
          <w:iCs/>
        </w:rPr>
        <w:t>, Touro University</w:t>
      </w:r>
      <w:r w:rsidR="005C010D">
        <w:rPr>
          <w:iCs/>
        </w:rPr>
        <w:t xml:space="preserve"> Nevada</w:t>
      </w:r>
      <w:r w:rsidR="008C0283" w:rsidRPr="00C90AC0">
        <w:rPr>
          <w:iCs/>
        </w:rPr>
        <w:t>, Nevada System of Higher</w:t>
      </w:r>
      <w:r w:rsidR="00C90AC0">
        <w:rPr>
          <w:iCs/>
        </w:rPr>
        <w:t> </w:t>
      </w:r>
      <w:r w:rsidR="008C0283" w:rsidRPr="00C90AC0">
        <w:rPr>
          <w:iCs/>
        </w:rPr>
        <w:t>Education</w:t>
      </w:r>
      <w:r w:rsidR="00997E8D">
        <w:rPr>
          <w:iCs/>
        </w:rPr>
        <w:t xml:space="preserve"> (NSHE)</w:t>
      </w:r>
      <w:r w:rsidR="006F6BAF">
        <w:rPr>
          <w:iCs/>
        </w:rPr>
        <w:t>, and other educational institutions in Nevada.</w:t>
      </w:r>
      <w:r w:rsidR="006D7DF7">
        <w:rPr>
          <w:iCs/>
        </w:rPr>
        <w:t xml:space="preserve">  F</w:t>
      </w:r>
      <w:r w:rsidR="006D7DF7" w:rsidRPr="00C52482">
        <w:rPr>
          <w:iCs/>
        </w:rPr>
        <w:t>ederal Alzheimer</w:t>
      </w:r>
      <w:r w:rsidR="006D7DF7">
        <w:rPr>
          <w:iCs/>
        </w:rPr>
        <w:t>’s</w:t>
      </w:r>
      <w:r w:rsidR="006D7DF7" w:rsidRPr="00C52482">
        <w:rPr>
          <w:iCs/>
        </w:rPr>
        <w:t xml:space="preserve"> research grants</w:t>
      </w:r>
      <w:r w:rsidR="006D7DF7">
        <w:rPr>
          <w:iCs/>
        </w:rPr>
        <w:t xml:space="preserve">; private-sector foundation grants; </w:t>
      </w:r>
      <w:r w:rsidR="006D7DF7" w:rsidRPr="00C52482">
        <w:rPr>
          <w:iCs/>
        </w:rPr>
        <w:t xml:space="preserve">Cleveland Clinic Lou </w:t>
      </w:r>
      <w:r w:rsidR="006D7DF7">
        <w:rPr>
          <w:iCs/>
        </w:rPr>
        <w:t>Ruvo Center for Brain Health.</w:t>
      </w:r>
    </w:p>
    <w:p w:rsidR="00130056" w:rsidRPr="00B62337" w:rsidRDefault="00130056" w:rsidP="00130056">
      <w:pPr>
        <w:tabs>
          <w:tab w:val="left" w:pos="360"/>
          <w:tab w:val="left" w:pos="720"/>
          <w:tab w:val="left" w:pos="1080"/>
        </w:tabs>
        <w:jc w:val="both"/>
        <w:rPr>
          <w:b/>
          <w:iCs/>
        </w:rPr>
      </w:pPr>
    </w:p>
    <w:p w:rsidR="00943C50" w:rsidRPr="00943C50" w:rsidRDefault="0080326E" w:rsidP="00482FCA">
      <w:pPr>
        <w:tabs>
          <w:tab w:val="left" w:pos="360"/>
          <w:tab w:val="left" w:pos="720"/>
          <w:tab w:val="left" w:pos="1080"/>
        </w:tabs>
        <w:jc w:val="both"/>
      </w:pPr>
      <w:r w:rsidRPr="0080326E">
        <w:rPr>
          <w:b/>
        </w:rPr>
        <w:t>Recommendation 8:</w:t>
      </w:r>
      <w:r w:rsidR="00943C50">
        <w:rPr>
          <w:b/>
        </w:rPr>
        <w:t xml:space="preserve"> </w:t>
      </w:r>
      <w:r w:rsidR="00943C50">
        <w:t xml:space="preserve">Improve policies and procedures for </w:t>
      </w:r>
      <w:commentRangeStart w:id="3"/>
      <w:r w:rsidR="00943C50">
        <w:t>hospital</w:t>
      </w:r>
      <w:commentRangeEnd w:id="3"/>
      <w:r w:rsidR="003947D2">
        <w:rPr>
          <w:rStyle w:val="CommentReference"/>
        </w:rPr>
        <w:commentReference w:id="3"/>
      </w:r>
      <w:r w:rsidR="00943C50">
        <w:t xml:space="preserve"> care for patients with Alzheimer’s disease by encouraging the adoption of specialized care pathways.  Encourage the Nevada Hospital Association, in collaboration with subject matter experts from the Alzheimer’s Association, research, and educational organizations, to develop a care plan for the management of patients with cognitive impairment entering the hospital. </w:t>
      </w:r>
    </w:p>
    <w:p w:rsidR="00482FCA" w:rsidRPr="00B62337" w:rsidRDefault="00482FCA" w:rsidP="00482FCA">
      <w:pPr>
        <w:tabs>
          <w:tab w:val="left" w:pos="360"/>
          <w:tab w:val="left" w:pos="720"/>
          <w:tab w:val="left" w:pos="1080"/>
        </w:tabs>
        <w:jc w:val="both"/>
      </w:pPr>
    </w:p>
    <w:p w:rsidR="00D60D66" w:rsidRPr="00B62337" w:rsidRDefault="00F13C90" w:rsidP="00482FCA">
      <w:pPr>
        <w:tabs>
          <w:tab w:val="left" w:pos="360"/>
          <w:tab w:val="left" w:pos="720"/>
          <w:tab w:val="left" w:pos="1080"/>
        </w:tabs>
        <w:jc w:val="both"/>
        <w:rPr>
          <w:u w:val="single"/>
        </w:rPr>
      </w:pPr>
      <w:r w:rsidRPr="00B62337">
        <w:rPr>
          <w:u w:val="single"/>
        </w:rPr>
        <w:t>Long</w:t>
      </w:r>
      <w:r w:rsidR="000639DA">
        <w:rPr>
          <w:u w:val="single"/>
        </w:rPr>
        <w:t>-</w:t>
      </w:r>
      <w:r w:rsidRPr="00B62337">
        <w:rPr>
          <w:u w:val="single"/>
        </w:rPr>
        <w:t>Term Care Facilities</w:t>
      </w:r>
    </w:p>
    <w:p w:rsidR="00D60D66" w:rsidRPr="00B62337" w:rsidRDefault="00D60D66" w:rsidP="00AB074D">
      <w:pPr>
        <w:jc w:val="both"/>
      </w:pPr>
    </w:p>
    <w:p w:rsidR="00F3034A" w:rsidRPr="00B62337" w:rsidRDefault="00D60D66" w:rsidP="00F3034A">
      <w:pPr>
        <w:widowControl w:val="0"/>
        <w:autoSpaceDE w:val="0"/>
        <w:autoSpaceDN w:val="0"/>
        <w:adjustRightInd w:val="0"/>
        <w:jc w:val="both"/>
      </w:pPr>
      <w:r w:rsidRPr="00B62337">
        <w:t>In Nevada</w:t>
      </w:r>
      <w:r w:rsidR="000639DA">
        <w:t>,</w:t>
      </w:r>
      <w:r w:rsidRPr="00B62337">
        <w:t xml:space="preserve"> the BH</w:t>
      </w:r>
      <w:r w:rsidR="00425339">
        <w:t>C</w:t>
      </w:r>
      <w:r w:rsidRPr="00B62337">
        <w:t>QC</w:t>
      </w:r>
      <w:r w:rsidR="00425339">
        <w:t xml:space="preserve"> </w:t>
      </w:r>
      <w:r w:rsidR="00017B13" w:rsidRPr="00B62337">
        <w:t xml:space="preserve">is responsible for licensing, inspecting, </w:t>
      </w:r>
      <w:r w:rsidRPr="00B62337">
        <w:t>and regulating all medical and other related facilities in the State.  T</w:t>
      </w:r>
      <w:r w:rsidR="00521199" w:rsidRPr="00B62337">
        <w:t xml:space="preserve">he options for </w:t>
      </w:r>
      <w:r w:rsidR="003B12A4" w:rsidRPr="00B62337">
        <w:t>long-term</w:t>
      </w:r>
      <w:r w:rsidR="00846797" w:rsidRPr="00B62337">
        <w:t xml:space="preserve"> </w:t>
      </w:r>
      <w:r w:rsidR="00521199" w:rsidRPr="00B62337">
        <w:t>care</w:t>
      </w:r>
      <w:r w:rsidR="00017B13" w:rsidRPr="00B62337">
        <w:t xml:space="preserve"> facilities</w:t>
      </w:r>
      <w:r w:rsidR="00521199" w:rsidRPr="00B62337">
        <w:t xml:space="preserve"> </w:t>
      </w:r>
      <w:r w:rsidR="00846797" w:rsidRPr="00B62337">
        <w:t xml:space="preserve">for </w:t>
      </w:r>
      <w:r w:rsidR="00E8591F">
        <w:t>individuals</w:t>
      </w:r>
      <w:r w:rsidR="00E8591F" w:rsidRPr="00B62337">
        <w:t xml:space="preserve"> </w:t>
      </w:r>
      <w:r w:rsidR="00846797" w:rsidRPr="00B62337">
        <w:t xml:space="preserve">with Alzheimer’s </w:t>
      </w:r>
      <w:r w:rsidR="002E464D">
        <w:t>d</w:t>
      </w:r>
      <w:r w:rsidR="00846797" w:rsidRPr="00B62337">
        <w:t>isease</w:t>
      </w:r>
      <w:r w:rsidR="00521199" w:rsidRPr="00B62337">
        <w:t xml:space="preserve"> under </w:t>
      </w:r>
      <w:r w:rsidRPr="00B62337">
        <w:t>the BHCQC</w:t>
      </w:r>
      <w:r w:rsidR="00846797" w:rsidRPr="00B62337">
        <w:t xml:space="preserve"> </w:t>
      </w:r>
      <w:r w:rsidR="003B12A4" w:rsidRPr="00B62337">
        <w:t>include</w:t>
      </w:r>
      <w:r w:rsidRPr="00B62337">
        <w:t xml:space="preserve"> </w:t>
      </w:r>
      <w:r w:rsidR="00521199" w:rsidRPr="00B62337">
        <w:t>residential care facilities for groups</w:t>
      </w:r>
      <w:r w:rsidR="00846797" w:rsidRPr="00B62337">
        <w:t xml:space="preserve"> </w:t>
      </w:r>
      <w:r w:rsidR="00521199" w:rsidRPr="00B62337">
        <w:t xml:space="preserve">and skilled nursing facilities.  </w:t>
      </w:r>
      <w:r w:rsidR="00F026AF" w:rsidRPr="00B62337">
        <w:t xml:space="preserve">Surveys (inspections) are conducted in accordance with applicable regulations, based on the type of facility, and follow specific time frames and procedures. </w:t>
      </w:r>
      <w:r w:rsidR="000639DA">
        <w:t xml:space="preserve"> </w:t>
      </w:r>
      <w:r w:rsidR="00425339">
        <w:t>The </w:t>
      </w:r>
      <w:r w:rsidR="00F026AF" w:rsidRPr="00B62337">
        <w:t>B</w:t>
      </w:r>
      <w:r w:rsidR="00425339">
        <w:t>HCQC</w:t>
      </w:r>
      <w:r w:rsidR="00F026AF" w:rsidRPr="00B62337">
        <w:t xml:space="preserve"> also conducts complaint investigations for all licensed and/or certified facilities.</w:t>
      </w:r>
      <w:r w:rsidR="000639DA">
        <w:t xml:space="preserve"> </w:t>
      </w:r>
      <w:r w:rsidR="00F026AF" w:rsidRPr="00B62337">
        <w:t xml:space="preserve"> </w:t>
      </w:r>
      <w:r w:rsidR="00F3034A" w:rsidRPr="00B62337">
        <w:t xml:space="preserve">Both </w:t>
      </w:r>
      <w:r w:rsidR="00F026AF" w:rsidRPr="00B62337">
        <w:t>long</w:t>
      </w:r>
      <w:r w:rsidR="000639DA">
        <w:t>-</w:t>
      </w:r>
      <w:r w:rsidR="00F026AF" w:rsidRPr="00B62337">
        <w:t xml:space="preserve">term care facility </w:t>
      </w:r>
      <w:r w:rsidR="00F3034A" w:rsidRPr="00B62337">
        <w:t>types receive annual inspections</w:t>
      </w:r>
      <w:r w:rsidR="00CC4327" w:rsidRPr="00B62337">
        <w:t>.  Inspection and survey results are posted on the Health Division</w:t>
      </w:r>
      <w:r w:rsidR="004A6958">
        <w:t>’s</w:t>
      </w:r>
      <w:r w:rsidR="00CC4327" w:rsidRPr="00B62337">
        <w:t xml:space="preserve"> </w:t>
      </w:r>
      <w:r w:rsidR="000639DA">
        <w:t>w</w:t>
      </w:r>
      <w:r w:rsidR="00CC4327" w:rsidRPr="00B62337">
        <w:t>ebsite at</w:t>
      </w:r>
      <w:r w:rsidR="00A368CD" w:rsidRPr="00B62337">
        <w:t>:</w:t>
      </w:r>
      <w:r w:rsidR="00CC4327" w:rsidRPr="00B62337">
        <w:t xml:space="preserve"> </w:t>
      </w:r>
      <w:hyperlink r:id="rId33" w:history="1">
        <w:r w:rsidR="00A368CD" w:rsidRPr="00B62337">
          <w:rPr>
            <w:rStyle w:val="Hyperlink"/>
          </w:rPr>
          <w:t>http://search.health.nv.gov/SOD</w:t>
        </w:r>
      </w:hyperlink>
      <w:r w:rsidR="00A368CD" w:rsidRPr="00B62337">
        <w:t>.</w:t>
      </w:r>
      <w:r w:rsidR="00CC4327" w:rsidRPr="00B62337">
        <w:t xml:space="preserve"> </w:t>
      </w:r>
      <w:r w:rsidR="001C6174" w:rsidRPr="00B62337">
        <w:t xml:space="preserve">  </w:t>
      </w:r>
    </w:p>
    <w:p w:rsidR="00F3034A" w:rsidRPr="00B62337" w:rsidRDefault="00F3034A" w:rsidP="00F3034A">
      <w:pPr>
        <w:autoSpaceDE w:val="0"/>
        <w:autoSpaceDN w:val="0"/>
        <w:adjustRightInd w:val="0"/>
        <w:jc w:val="both"/>
        <w:rPr>
          <w:rFonts w:eastAsiaTheme="minorHAnsi"/>
          <w:bCs/>
          <w:iCs/>
          <w:color w:val="000000"/>
        </w:rPr>
      </w:pPr>
    </w:p>
    <w:p w:rsidR="00F3034A" w:rsidRPr="00B62337" w:rsidRDefault="00F3034A" w:rsidP="00F3034A">
      <w:pPr>
        <w:autoSpaceDE w:val="0"/>
        <w:autoSpaceDN w:val="0"/>
        <w:adjustRightInd w:val="0"/>
        <w:jc w:val="both"/>
        <w:rPr>
          <w:rFonts w:eastAsiaTheme="minorHAnsi"/>
          <w:bCs/>
          <w:iCs/>
          <w:color w:val="000000"/>
        </w:rPr>
      </w:pPr>
      <w:r w:rsidRPr="00B62337">
        <w:rPr>
          <w:rFonts w:eastAsiaTheme="minorHAnsi"/>
          <w:bCs/>
          <w:iCs/>
          <w:color w:val="000000"/>
        </w:rPr>
        <w:t xml:space="preserve">In addition to the BHCQC, several other </w:t>
      </w:r>
      <w:r w:rsidR="000639DA">
        <w:rPr>
          <w:rFonts w:eastAsiaTheme="minorHAnsi"/>
          <w:bCs/>
          <w:iCs/>
          <w:color w:val="000000"/>
        </w:rPr>
        <w:t>S</w:t>
      </w:r>
      <w:r w:rsidRPr="00B62337">
        <w:rPr>
          <w:rFonts w:eastAsiaTheme="minorHAnsi"/>
          <w:bCs/>
          <w:iCs/>
          <w:color w:val="000000"/>
        </w:rPr>
        <w:t xml:space="preserve">tate entities provide a role in maintaining the quality of long-term care for Alzheimer’s patients in Nevada.  </w:t>
      </w:r>
      <w:r w:rsidR="000639DA">
        <w:rPr>
          <w:rFonts w:eastAsiaTheme="minorHAnsi"/>
          <w:color w:val="000000"/>
        </w:rPr>
        <w:t>T</w:t>
      </w:r>
      <w:r w:rsidRPr="00B62337">
        <w:rPr>
          <w:rFonts w:eastAsiaTheme="minorHAnsi"/>
          <w:color w:val="000000"/>
        </w:rPr>
        <w:t>he Nevada State Board of Examiners for Administrators of Facilities for Long-Term Care</w:t>
      </w:r>
      <w:r w:rsidR="000639DA">
        <w:rPr>
          <w:rFonts w:eastAsiaTheme="minorHAnsi"/>
          <w:color w:val="000000"/>
        </w:rPr>
        <w:t xml:space="preserve"> was created by the Legislature in</w:t>
      </w:r>
      <w:r w:rsidRPr="00B62337">
        <w:rPr>
          <w:rFonts w:eastAsiaTheme="minorHAnsi"/>
          <w:color w:val="000000"/>
        </w:rPr>
        <w:t xml:space="preserve"> 1969</w:t>
      </w:r>
      <w:r w:rsidR="00425339">
        <w:rPr>
          <w:rFonts w:eastAsiaTheme="minorHAnsi"/>
          <w:color w:val="000000"/>
        </w:rPr>
        <w:t> </w:t>
      </w:r>
      <w:r w:rsidR="00AA306A">
        <w:rPr>
          <w:rFonts w:eastAsiaTheme="minorHAnsi"/>
          <w:color w:val="000000"/>
        </w:rPr>
        <w:t>(</w:t>
      </w:r>
      <w:r w:rsidR="00AA306A" w:rsidRPr="000639DA">
        <w:rPr>
          <w:rFonts w:eastAsiaTheme="minorHAnsi"/>
          <w:i/>
          <w:color w:val="000000"/>
        </w:rPr>
        <w:t>Nevada Revised Statutes</w:t>
      </w:r>
      <w:r w:rsidR="00AA306A">
        <w:rPr>
          <w:rFonts w:eastAsiaTheme="minorHAnsi"/>
          <w:color w:val="000000"/>
        </w:rPr>
        <w:t xml:space="preserve"> </w:t>
      </w:r>
      <w:r w:rsidR="00AA306A" w:rsidRPr="00B62337">
        <w:rPr>
          <w:rFonts w:eastAsiaTheme="minorHAnsi"/>
          <w:color w:val="000000"/>
        </w:rPr>
        <w:t>654.050</w:t>
      </w:r>
      <w:r w:rsidR="00AA306A">
        <w:rPr>
          <w:rFonts w:eastAsiaTheme="minorHAnsi"/>
          <w:color w:val="000000"/>
        </w:rPr>
        <w:t>)</w:t>
      </w:r>
      <w:r w:rsidRPr="00B62337">
        <w:rPr>
          <w:rFonts w:eastAsiaTheme="minorHAnsi"/>
          <w:color w:val="000000"/>
        </w:rPr>
        <w:t>. This Board of Examiners for Long-Term Care Administrators (BELTCA) serves as the licensing and regulatory agency for long-term care</w:t>
      </w:r>
      <w:r w:rsidR="00B35407">
        <w:rPr>
          <w:rFonts w:eastAsiaTheme="minorHAnsi"/>
          <w:color w:val="000000"/>
        </w:rPr>
        <w:t> </w:t>
      </w:r>
      <w:r w:rsidRPr="00B62337">
        <w:rPr>
          <w:rFonts w:eastAsiaTheme="minorHAnsi"/>
          <w:color w:val="000000"/>
        </w:rPr>
        <w:t xml:space="preserve">administrators in Nevada, including nursing homes and group care facilities/assisted living facilities. The BELTCA protects public and consumer interests by ensuring long-term care administrators are of good moral character, properly educated, and trained to care for Nevada’s citizens in a dignified and caring manner. </w:t>
      </w:r>
    </w:p>
    <w:p w:rsidR="00F3034A" w:rsidRPr="00B62337" w:rsidRDefault="00F3034A" w:rsidP="00F3034A">
      <w:pPr>
        <w:autoSpaceDE w:val="0"/>
        <w:autoSpaceDN w:val="0"/>
        <w:adjustRightInd w:val="0"/>
        <w:jc w:val="both"/>
        <w:rPr>
          <w:rFonts w:eastAsiaTheme="minorHAnsi"/>
          <w:color w:val="000000"/>
        </w:rPr>
      </w:pPr>
    </w:p>
    <w:p w:rsidR="00F3034A" w:rsidRPr="00B62337" w:rsidRDefault="00F3034A" w:rsidP="00F3034A">
      <w:pPr>
        <w:autoSpaceDE w:val="0"/>
        <w:autoSpaceDN w:val="0"/>
        <w:adjustRightInd w:val="0"/>
        <w:jc w:val="both"/>
        <w:rPr>
          <w:rFonts w:eastAsiaTheme="minorHAnsi"/>
        </w:rPr>
      </w:pPr>
      <w:r w:rsidRPr="00B62337">
        <w:rPr>
          <w:rFonts w:eastAsiaTheme="minorHAnsi"/>
          <w:color w:val="000000"/>
        </w:rPr>
        <w:t>The Office of the State Long-Term Care Ombudsman is a federally mandated service</w:t>
      </w:r>
      <w:r w:rsidR="00935519">
        <w:rPr>
          <w:rFonts w:eastAsiaTheme="minorHAnsi"/>
          <w:color w:val="000000"/>
        </w:rPr>
        <w:t xml:space="preserve">, which is </w:t>
      </w:r>
      <w:r w:rsidRPr="00B62337">
        <w:rPr>
          <w:rFonts w:eastAsiaTheme="minorHAnsi"/>
          <w:color w:val="000000"/>
        </w:rPr>
        <w:t>administered by the ADSD.</w:t>
      </w:r>
      <w:r w:rsidR="00AA306A">
        <w:rPr>
          <w:rFonts w:eastAsiaTheme="minorHAnsi"/>
          <w:color w:val="000000"/>
        </w:rPr>
        <w:t xml:space="preserve">  </w:t>
      </w:r>
      <w:r w:rsidRPr="00B62337">
        <w:rPr>
          <w:rFonts w:eastAsiaTheme="minorHAnsi"/>
          <w:color w:val="000000"/>
        </w:rPr>
        <w:t xml:space="preserve">The State Ombudsman advocates for seniors </w:t>
      </w:r>
      <w:r w:rsidR="00935519">
        <w:rPr>
          <w:rFonts w:eastAsiaTheme="minorHAnsi"/>
          <w:color w:val="000000"/>
        </w:rPr>
        <w:t xml:space="preserve">who are </w:t>
      </w:r>
      <w:r w:rsidRPr="00B62337">
        <w:rPr>
          <w:rFonts w:eastAsiaTheme="minorHAnsi"/>
          <w:color w:val="000000"/>
        </w:rPr>
        <w:t xml:space="preserve">over the age of 60 </w:t>
      </w:r>
      <w:r w:rsidR="00935519">
        <w:rPr>
          <w:rFonts w:eastAsiaTheme="minorHAnsi"/>
          <w:color w:val="000000"/>
        </w:rPr>
        <w:t>and reside</w:t>
      </w:r>
      <w:r w:rsidRPr="00B62337">
        <w:rPr>
          <w:rFonts w:eastAsiaTheme="minorHAnsi"/>
          <w:color w:val="000000"/>
        </w:rPr>
        <w:t xml:space="preserve"> in long-term care settings. </w:t>
      </w:r>
      <w:r w:rsidR="00AA306A">
        <w:rPr>
          <w:rFonts w:eastAsiaTheme="minorHAnsi"/>
          <w:color w:val="000000"/>
        </w:rPr>
        <w:t xml:space="preserve"> </w:t>
      </w:r>
      <w:r w:rsidRPr="00B62337">
        <w:rPr>
          <w:rFonts w:eastAsiaTheme="minorHAnsi"/>
          <w:color w:val="000000"/>
        </w:rPr>
        <w:t xml:space="preserve">Certified staff of the Office visit facilities to listen to residents, help resolve problems, and provide information. </w:t>
      </w:r>
      <w:r w:rsidR="00AA306A">
        <w:rPr>
          <w:rFonts w:eastAsiaTheme="minorHAnsi"/>
          <w:color w:val="000000"/>
        </w:rPr>
        <w:t xml:space="preserve"> </w:t>
      </w:r>
      <w:r w:rsidR="008E3F67">
        <w:rPr>
          <w:rFonts w:eastAsiaTheme="minorHAnsi"/>
          <w:color w:val="000000"/>
        </w:rPr>
        <w:t>The Office of the State </w:t>
      </w:r>
      <w:r w:rsidRPr="00B62337">
        <w:rPr>
          <w:rFonts w:eastAsiaTheme="minorHAnsi"/>
          <w:color w:val="000000"/>
        </w:rPr>
        <w:t xml:space="preserve">Ombudsman </w:t>
      </w:r>
      <w:r w:rsidRPr="00B62337">
        <w:rPr>
          <w:rFonts w:eastAsiaTheme="minorHAnsi"/>
          <w:color w:val="000000"/>
        </w:rPr>
        <w:lastRenderedPageBreak/>
        <w:t xml:space="preserve">does not investigate cases of alleged abuse, exploitation, isolation, or neglect. </w:t>
      </w:r>
      <w:r w:rsidR="00AA306A">
        <w:rPr>
          <w:rFonts w:eastAsiaTheme="minorHAnsi"/>
          <w:color w:val="000000"/>
        </w:rPr>
        <w:t xml:space="preserve"> </w:t>
      </w:r>
      <w:r w:rsidRPr="00B62337">
        <w:rPr>
          <w:rFonts w:eastAsiaTheme="minorHAnsi"/>
          <w:color w:val="000000"/>
        </w:rPr>
        <w:t xml:space="preserve">The Elder Protective Services Unit in the ADSD has that responsibility. </w:t>
      </w:r>
    </w:p>
    <w:p w:rsidR="008B3DC4" w:rsidRPr="00B62337" w:rsidRDefault="008B3DC4" w:rsidP="00AB074D">
      <w:pPr>
        <w:widowControl w:val="0"/>
        <w:autoSpaceDE w:val="0"/>
        <w:autoSpaceDN w:val="0"/>
        <w:adjustRightInd w:val="0"/>
        <w:jc w:val="both"/>
      </w:pPr>
    </w:p>
    <w:p w:rsidR="00915F89" w:rsidRDefault="00532618" w:rsidP="00812A69">
      <w:pPr>
        <w:widowControl w:val="0"/>
        <w:tabs>
          <w:tab w:val="left" w:pos="9270"/>
        </w:tabs>
        <w:autoSpaceDE w:val="0"/>
        <w:autoSpaceDN w:val="0"/>
        <w:adjustRightInd w:val="0"/>
        <w:jc w:val="both"/>
      </w:pPr>
      <w:r w:rsidRPr="00B62337">
        <w:t xml:space="preserve">Residential care facilities must meet certain requirements in Nevada to </w:t>
      </w:r>
      <w:r w:rsidR="0065656E" w:rsidRPr="00B62337">
        <w:t>be recognized</w:t>
      </w:r>
      <w:r w:rsidRPr="00B62337">
        <w:t xml:space="preserve"> as “assisted living facilities</w:t>
      </w:r>
      <w:r w:rsidR="00AA306A">
        <w:t>.</w:t>
      </w:r>
      <w:r w:rsidRPr="00B62337">
        <w:t xml:space="preserve">”  </w:t>
      </w:r>
      <w:r w:rsidR="00CB2B7B" w:rsidRPr="00B62337">
        <w:t>In addition, r</w:t>
      </w:r>
      <w:r w:rsidR="002C393E" w:rsidRPr="00B62337">
        <w:t xml:space="preserve">esidential care facilities </w:t>
      </w:r>
      <w:r w:rsidR="00B57934">
        <w:t>may</w:t>
      </w:r>
      <w:r w:rsidR="00971D20" w:rsidRPr="00B62337">
        <w:t xml:space="preserve"> </w:t>
      </w:r>
      <w:r w:rsidRPr="00B62337">
        <w:t xml:space="preserve">have an endorsement for Alzheimer’s </w:t>
      </w:r>
      <w:r w:rsidR="002E464D">
        <w:t>d</w:t>
      </w:r>
      <w:r w:rsidR="00935519">
        <w:t xml:space="preserve">isease </w:t>
      </w:r>
      <w:r w:rsidRPr="00B62337">
        <w:t>on their license</w:t>
      </w:r>
      <w:r w:rsidR="00B57934">
        <w:t>,</w:t>
      </w:r>
      <w:r w:rsidRPr="00B62337">
        <w:t xml:space="preserve"> </w:t>
      </w:r>
      <w:r w:rsidR="00B57934">
        <w:t>which requires</w:t>
      </w:r>
      <w:r w:rsidR="00971D20" w:rsidRPr="00B62337">
        <w:t xml:space="preserve"> a secured environment</w:t>
      </w:r>
      <w:r w:rsidR="00935519">
        <w:t>,</w:t>
      </w:r>
      <w:r w:rsidR="00971D20" w:rsidRPr="00B62337">
        <w:t xml:space="preserve"> as well as enhanced training for their staff</w:t>
      </w:r>
      <w:r w:rsidR="008B3DC4" w:rsidRPr="00B62337">
        <w:t xml:space="preserve">.  </w:t>
      </w:r>
      <w:r w:rsidR="00985425" w:rsidRPr="00B62337">
        <w:t>Residential care facilities (assisted living facilities) are licensed</w:t>
      </w:r>
      <w:r w:rsidR="00935519">
        <w:t>,</w:t>
      </w:r>
      <w:r w:rsidR="00985425" w:rsidRPr="00B62337">
        <w:t xml:space="preserve"> based on the number of residents.  </w:t>
      </w:r>
      <w:r w:rsidR="003B12A4" w:rsidRPr="00B62337">
        <w:t>The two facility license types are f</w:t>
      </w:r>
      <w:r w:rsidR="00985425" w:rsidRPr="00B62337">
        <w:t>acilities with 10</w:t>
      </w:r>
      <w:r w:rsidR="00B35407">
        <w:t> </w:t>
      </w:r>
      <w:r w:rsidR="00985425" w:rsidRPr="00B62337">
        <w:t>or fewer residents</w:t>
      </w:r>
      <w:r w:rsidR="00AA306A">
        <w:t>, which</w:t>
      </w:r>
      <w:r w:rsidR="00985425" w:rsidRPr="00B62337">
        <w:t xml:space="preserve"> are usually in a residence or home, and facilities with 11 or more residents</w:t>
      </w:r>
      <w:r w:rsidR="00BB7651">
        <w:t>,</w:t>
      </w:r>
      <w:r w:rsidR="00985425" w:rsidRPr="00B62337">
        <w:t xml:space="preserve"> </w:t>
      </w:r>
      <w:r w:rsidR="00CF2247">
        <w:t xml:space="preserve">which </w:t>
      </w:r>
      <w:r w:rsidR="00985425" w:rsidRPr="00B62337">
        <w:t xml:space="preserve">are usually a special unit as a part of a larger assisted living facility.  </w:t>
      </w:r>
      <w:r w:rsidR="008B3DC4" w:rsidRPr="00B62337">
        <w:t>The</w:t>
      </w:r>
      <w:r w:rsidR="00B35407">
        <w:t> </w:t>
      </w:r>
      <w:r w:rsidR="008B3DC4" w:rsidRPr="00B62337">
        <w:t xml:space="preserve">following chart outlines the distribution of these </w:t>
      </w:r>
      <w:commentRangeStart w:id="4"/>
      <w:r w:rsidR="008B3DC4" w:rsidRPr="00B62337">
        <w:t>facilities</w:t>
      </w:r>
      <w:commentRangeEnd w:id="4"/>
      <w:r w:rsidR="007562B2">
        <w:rPr>
          <w:rStyle w:val="CommentReference"/>
        </w:rPr>
        <w:commentReference w:id="4"/>
      </w:r>
      <w:r w:rsidR="008B3DC4" w:rsidRPr="00B62337">
        <w:t xml:space="preserve">: </w:t>
      </w:r>
    </w:p>
    <w:p w:rsidR="00915F89" w:rsidRDefault="00915F89" w:rsidP="00812A69">
      <w:pPr>
        <w:widowControl w:val="0"/>
        <w:tabs>
          <w:tab w:val="left" w:pos="9270"/>
        </w:tabs>
        <w:autoSpaceDE w:val="0"/>
        <w:autoSpaceDN w:val="0"/>
        <w:adjustRightInd w:val="0"/>
        <w:jc w:val="both"/>
      </w:pPr>
    </w:p>
    <w:p w:rsidR="008E3F67" w:rsidRDefault="008E3F67" w:rsidP="00812A69">
      <w:pPr>
        <w:widowControl w:val="0"/>
        <w:tabs>
          <w:tab w:val="left" w:pos="9270"/>
        </w:tabs>
        <w:autoSpaceDE w:val="0"/>
        <w:autoSpaceDN w:val="0"/>
        <w:adjustRightInd w:val="0"/>
        <w:jc w:val="both"/>
      </w:pPr>
    </w:p>
    <w:tbl>
      <w:tblPr>
        <w:tblStyle w:val="TableGrid"/>
        <w:tblW w:w="0" w:type="auto"/>
        <w:tblInd w:w="108" w:type="dxa"/>
        <w:tblLook w:val="04A0"/>
      </w:tblPr>
      <w:tblGrid>
        <w:gridCol w:w="1749"/>
        <w:gridCol w:w="1858"/>
        <w:gridCol w:w="1857"/>
        <w:gridCol w:w="1858"/>
        <w:gridCol w:w="2038"/>
      </w:tblGrid>
      <w:tr w:rsidR="008B3DC4" w:rsidRPr="00CF2247" w:rsidTr="00017087">
        <w:trPr>
          <w:trHeight w:val="576"/>
        </w:trPr>
        <w:tc>
          <w:tcPr>
            <w:tcW w:w="9360" w:type="dxa"/>
            <w:gridSpan w:val="5"/>
            <w:shd w:val="clear" w:color="auto" w:fill="D9D9D9" w:themeFill="background1" w:themeFillShade="D9"/>
            <w:vAlign w:val="center"/>
          </w:tcPr>
          <w:p w:rsidR="008B3DC4" w:rsidRPr="00F20F1F" w:rsidRDefault="008B3DC4" w:rsidP="00CF2247">
            <w:pPr>
              <w:widowControl w:val="0"/>
              <w:autoSpaceDE w:val="0"/>
              <w:autoSpaceDN w:val="0"/>
              <w:adjustRightInd w:val="0"/>
              <w:jc w:val="center"/>
              <w:rPr>
                <w:b/>
                <w:sz w:val="18"/>
                <w:szCs w:val="18"/>
              </w:rPr>
            </w:pPr>
            <w:r w:rsidRPr="00F20F1F">
              <w:rPr>
                <w:b/>
                <w:sz w:val="18"/>
                <w:szCs w:val="18"/>
              </w:rPr>
              <w:t>Residential Care Facilities for Groups</w:t>
            </w:r>
          </w:p>
        </w:tc>
      </w:tr>
      <w:tr w:rsidR="008B3DC4" w:rsidRPr="00B62337" w:rsidTr="00760CC1">
        <w:tc>
          <w:tcPr>
            <w:tcW w:w="1749" w:type="dxa"/>
            <w:vAlign w:val="center"/>
          </w:tcPr>
          <w:p w:rsidR="008B3DC4" w:rsidRPr="008E3F67" w:rsidRDefault="008B3DC4" w:rsidP="00760CC1">
            <w:pPr>
              <w:widowControl w:val="0"/>
              <w:autoSpaceDE w:val="0"/>
              <w:autoSpaceDN w:val="0"/>
              <w:adjustRightInd w:val="0"/>
              <w:jc w:val="center"/>
              <w:rPr>
                <w:b/>
                <w:sz w:val="18"/>
                <w:szCs w:val="18"/>
              </w:rPr>
            </w:pPr>
            <w:r w:rsidRPr="008E3F67">
              <w:rPr>
                <w:b/>
                <w:sz w:val="18"/>
                <w:szCs w:val="18"/>
              </w:rPr>
              <w:t>Location</w:t>
            </w:r>
          </w:p>
        </w:tc>
        <w:tc>
          <w:tcPr>
            <w:tcW w:w="1858" w:type="dxa"/>
            <w:vAlign w:val="center"/>
          </w:tcPr>
          <w:p w:rsidR="008B3DC4" w:rsidRPr="008E3F67" w:rsidRDefault="008B3DC4" w:rsidP="009F0218">
            <w:pPr>
              <w:widowControl w:val="0"/>
              <w:autoSpaceDE w:val="0"/>
              <w:autoSpaceDN w:val="0"/>
              <w:adjustRightInd w:val="0"/>
              <w:jc w:val="center"/>
              <w:rPr>
                <w:b/>
                <w:sz w:val="18"/>
                <w:szCs w:val="18"/>
              </w:rPr>
            </w:pPr>
            <w:r w:rsidRPr="008E3F67">
              <w:rPr>
                <w:b/>
                <w:sz w:val="18"/>
                <w:szCs w:val="18"/>
              </w:rPr>
              <w:t>Residents</w:t>
            </w:r>
          </w:p>
          <w:p w:rsidR="008B3DC4" w:rsidRPr="008E3F67" w:rsidRDefault="008B3DC4" w:rsidP="009F0218">
            <w:pPr>
              <w:widowControl w:val="0"/>
              <w:autoSpaceDE w:val="0"/>
              <w:autoSpaceDN w:val="0"/>
              <w:adjustRightInd w:val="0"/>
              <w:jc w:val="center"/>
              <w:rPr>
                <w:b/>
                <w:sz w:val="18"/>
                <w:szCs w:val="18"/>
              </w:rPr>
            </w:pPr>
            <w:r w:rsidRPr="008E3F67">
              <w:rPr>
                <w:b/>
                <w:sz w:val="18"/>
                <w:szCs w:val="18"/>
              </w:rPr>
              <w:t>10 or fewer</w:t>
            </w:r>
          </w:p>
        </w:tc>
        <w:tc>
          <w:tcPr>
            <w:tcW w:w="1857" w:type="dxa"/>
            <w:vAlign w:val="center"/>
          </w:tcPr>
          <w:p w:rsidR="008B3DC4" w:rsidRPr="008E3F67" w:rsidRDefault="008B3DC4" w:rsidP="009F0218">
            <w:pPr>
              <w:widowControl w:val="0"/>
              <w:autoSpaceDE w:val="0"/>
              <w:autoSpaceDN w:val="0"/>
              <w:adjustRightInd w:val="0"/>
              <w:jc w:val="center"/>
              <w:rPr>
                <w:b/>
                <w:sz w:val="18"/>
                <w:szCs w:val="18"/>
              </w:rPr>
            </w:pPr>
            <w:r w:rsidRPr="008E3F67">
              <w:rPr>
                <w:b/>
                <w:sz w:val="18"/>
                <w:szCs w:val="18"/>
              </w:rPr>
              <w:t>Residents</w:t>
            </w:r>
          </w:p>
          <w:p w:rsidR="008B3DC4" w:rsidRPr="008E3F67" w:rsidRDefault="008B3DC4" w:rsidP="009F0218">
            <w:pPr>
              <w:widowControl w:val="0"/>
              <w:autoSpaceDE w:val="0"/>
              <w:autoSpaceDN w:val="0"/>
              <w:adjustRightInd w:val="0"/>
              <w:jc w:val="center"/>
              <w:rPr>
                <w:b/>
                <w:sz w:val="18"/>
                <w:szCs w:val="18"/>
              </w:rPr>
            </w:pPr>
            <w:r w:rsidRPr="008E3F67">
              <w:rPr>
                <w:b/>
                <w:sz w:val="18"/>
                <w:szCs w:val="18"/>
              </w:rPr>
              <w:t>11 or more</w:t>
            </w:r>
          </w:p>
        </w:tc>
        <w:tc>
          <w:tcPr>
            <w:tcW w:w="1858" w:type="dxa"/>
            <w:vAlign w:val="center"/>
          </w:tcPr>
          <w:p w:rsidR="008B3DC4" w:rsidRPr="008E3F67" w:rsidRDefault="008B3DC4" w:rsidP="009F0218">
            <w:pPr>
              <w:widowControl w:val="0"/>
              <w:autoSpaceDE w:val="0"/>
              <w:autoSpaceDN w:val="0"/>
              <w:adjustRightInd w:val="0"/>
              <w:jc w:val="center"/>
              <w:rPr>
                <w:b/>
                <w:sz w:val="18"/>
                <w:szCs w:val="18"/>
              </w:rPr>
            </w:pPr>
            <w:r w:rsidRPr="008E3F67">
              <w:rPr>
                <w:b/>
                <w:sz w:val="18"/>
                <w:szCs w:val="18"/>
              </w:rPr>
              <w:t>Total Number of Licensed Beds</w:t>
            </w:r>
          </w:p>
        </w:tc>
        <w:tc>
          <w:tcPr>
            <w:tcW w:w="2038" w:type="dxa"/>
            <w:vAlign w:val="center"/>
          </w:tcPr>
          <w:p w:rsidR="008B3DC4" w:rsidRPr="008E3F67" w:rsidRDefault="008B3DC4" w:rsidP="009F0218">
            <w:pPr>
              <w:widowControl w:val="0"/>
              <w:autoSpaceDE w:val="0"/>
              <w:autoSpaceDN w:val="0"/>
              <w:adjustRightInd w:val="0"/>
              <w:jc w:val="center"/>
              <w:rPr>
                <w:b/>
                <w:sz w:val="18"/>
                <w:szCs w:val="18"/>
              </w:rPr>
            </w:pPr>
            <w:r w:rsidRPr="008E3F67">
              <w:rPr>
                <w:b/>
                <w:sz w:val="18"/>
                <w:szCs w:val="18"/>
              </w:rPr>
              <w:t>Licensed Beds</w:t>
            </w:r>
            <w:r w:rsidR="00A815B9" w:rsidRPr="008E3F67">
              <w:rPr>
                <w:b/>
                <w:sz w:val="18"/>
                <w:szCs w:val="18"/>
              </w:rPr>
              <w:t xml:space="preserve"> </w:t>
            </w:r>
            <w:r w:rsidR="008E3F67" w:rsidRPr="008E3F67">
              <w:rPr>
                <w:b/>
                <w:sz w:val="18"/>
                <w:szCs w:val="18"/>
              </w:rPr>
              <w:t>with</w:t>
            </w:r>
            <w:r w:rsidRPr="008E3F67">
              <w:rPr>
                <w:b/>
                <w:sz w:val="18"/>
                <w:szCs w:val="18"/>
              </w:rPr>
              <w:t xml:space="preserve"> Alzheimer’s Endorsement</w:t>
            </w:r>
          </w:p>
        </w:tc>
      </w:tr>
      <w:tr w:rsidR="008B3DC4" w:rsidRPr="00B62337" w:rsidTr="00760CC1">
        <w:trPr>
          <w:trHeight w:val="432"/>
        </w:trPr>
        <w:tc>
          <w:tcPr>
            <w:tcW w:w="1749" w:type="dxa"/>
            <w:vAlign w:val="center"/>
          </w:tcPr>
          <w:p w:rsidR="008B3DC4" w:rsidRPr="00F20F1F" w:rsidRDefault="008B3DC4" w:rsidP="00760CC1">
            <w:pPr>
              <w:widowControl w:val="0"/>
              <w:autoSpaceDE w:val="0"/>
              <w:autoSpaceDN w:val="0"/>
              <w:adjustRightInd w:val="0"/>
              <w:jc w:val="center"/>
              <w:rPr>
                <w:sz w:val="18"/>
                <w:szCs w:val="18"/>
              </w:rPr>
            </w:pPr>
            <w:r w:rsidRPr="00F20F1F">
              <w:rPr>
                <w:sz w:val="18"/>
                <w:szCs w:val="18"/>
              </w:rPr>
              <w:t>Northern Nevada</w:t>
            </w:r>
          </w:p>
        </w:tc>
        <w:tc>
          <w:tcPr>
            <w:tcW w:w="1858"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0</w:t>
            </w:r>
          </w:p>
        </w:tc>
        <w:tc>
          <w:tcPr>
            <w:tcW w:w="1857"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8</w:t>
            </w:r>
          </w:p>
        </w:tc>
        <w:tc>
          <w:tcPr>
            <w:tcW w:w="1858" w:type="dxa"/>
            <w:vMerge w:val="restart"/>
            <w:vAlign w:val="center"/>
          </w:tcPr>
          <w:p w:rsidR="008B3DC4" w:rsidRPr="00F20F1F" w:rsidRDefault="008B3DC4" w:rsidP="008E3F67">
            <w:pPr>
              <w:widowControl w:val="0"/>
              <w:autoSpaceDE w:val="0"/>
              <w:autoSpaceDN w:val="0"/>
              <w:adjustRightInd w:val="0"/>
              <w:jc w:val="center"/>
              <w:rPr>
                <w:sz w:val="18"/>
                <w:szCs w:val="18"/>
              </w:rPr>
            </w:pPr>
            <w:r w:rsidRPr="00F20F1F">
              <w:rPr>
                <w:sz w:val="18"/>
                <w:szCs w:val="18"/>
              </w:rPr>
              <w:t>2,616</w:t>
            </w:r>
            <w:r w:rsidR="008E3F67">
              <w:rPr>
                <w:sz w:val="18"/>
                <w:szCs w:val="18"/>
              </w:rPr>
              <w:t xml:space="preserve"> </w:t>
            </w:r>
            <w:r w:rsidRPr="00F20F1F">
              <w:rPr>
                <w:sz w:val="18"/>
                <w:szCs w:val="18"/>
              </w:rPr>
              <w:t>Statewide</w:t>
            </w:r>
          </w:p>
        </w:tc>
        <w:tc>
          <w:tcPr>
            <w:tcW w:w="2038"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268</w:t>
            </w:r>
          </w:p>
        </w:tc>
      </w:tr>
      <w:tr w:rsidR="008B3DC4" w:rsidRPr="00B62337" w:rsidTr="00760CC1">
        <w:trPr>
          <w:trHeight w:val="432"/>
        </w:trPr>
        <w:tc>
          <w:tcPr>
            <w:tcW w:w="1749" w:type="dxa"/>
            <w:vAlign w:val="center"/>
          </w:tcPr>
          <w:p w:rsidR="008B3DC4" w:rsidRPr="00F20F1F" w:rsidRDefault="008B3DC4" w:rsidP="00760CC1">
            <w:pPr>
              <w:widowControl w:val="0"/>
              <w:autoSpaceDE w:val="0"/>
              <w:autoSpaceDN w:val="0"/>
              <w:adjustRightInd w:val="0"/>
              <w:jc w:val="center"/>
              <w:rPr>
                <w:sz w:val="18"/>
                <w:szCs w:val="18"/>
              </w:rPr>
            </w:pPr>
            <w:r w:rsidRPr="00F20F1F">
              <w:rPr>
                <w:sz w:val="18"/>
                <w:szCs w:val="18"/>
              </w:rPr>
              <w:t>Southern Nevada</w:t>
            </w:r>
          </w:p>
        </w:tc>
        <w:tc>
          <w:tcPr>
            <w:tcW w:w="1858"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76</w:t>
            </w:r>
          </w:p>
        </w:tc>
        <w:tc>
          <w:tcPr>
            <w:tcW w:w="1857"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17</w:t>
            </w:r>
          </w:p>
        </w:tc>
        <w:tc>
          <w:tcPr>
            <w:tcW w:w="1858" w:type="dxa"/>
            <w:vMerge/>
            <w:vAlign w:val="center"/>
          </w:tcPr>
          <w:p w:rsidR="008B3DC4" w:rsidRPr="00F20F1F" w:rsidRDefault="008B3DC4" w:rsidP="00AB074D">
            <w:pPr>
              <w:widowControl w:val="0"/>
              <w:autoSpaceDE w:val="0"/>
              <w:autoSpaceDN w:val="0"/>
              <w:adjustRightInd w:val="0"/>
              <w:jc w:val="both"/>
              <w:rPr>
                <w:sz w:val="18"/>
                <w:szCs w:val="18"/>
              </w:rPr>
            </w:pPr>
          </w:p>
        </w:tc>
        <w:tc>
          <w:tcPr>
            <w:tcW w:w="2038" w:type="dxa"/>
            <w:vAlign w:val="center"/>
          </w:tcPr>
          <w:p w:rsidR="008B3DC4" w:rsidRPr="00F20F1F" w:rsidRDefault="008B3DC4" w:rsidP="00CF2247">
            <w:pPr>
              <w:widowControl w:val="0"/>
              <w:autoSpaceDE w:val="0"/>
              <w:autoSpaceDN w:val="0"/>
              <w:adjustRightInd w:val="0"/>
              <w:jc w:val="center"/>
              <w:rPr>
                <w:sz w:val="18"/>
                <w:szCs w:val="18"/>
              </w:rPr>
            </w:pPr>
            <w:r w:rsidRPr="00F20F1F">
              <w:rPr>
                <w:sz w:val="18"/>
                <w:szCs w:val="18"/>
              </w:rPr>
              <w:t>1,269</w:t>
            </w:r>
          </w:p>
        </w:tc>
      </w:tr>
    </w:tbl>
    <w:p w:rsidR="00E209FB" w:rsidRPr="00FF5E75" w:rsidRDefault="00E209FB" w:rsidP="00AB074D">
      <w:pPr>
        <w:widowControl w:val="0"/>
        <w:autoSpaceDE w:val="0"/>
        <w:autoSpaceDN w:val="0"/>
        <w:adjustRightInd w:val="0"/>
        <w:jc w:val="both"/>
        <w:rPr>
          <w:sz w:val="20"/>
          <w:szCs w:val="20"/>
        </w:rPr>
      </w:pPr>
    </w:p>
    <w:p w:rsidR="00E209FB" w:rsidRPr="00B62337" w:rsidRDefault="003B12A4" w:rsidP="00AB074D">
      <w:pPr>
        <w:widowControl w:val="0"/>
        <w:autoSpaceDE w:val="0"/>
        <w:autoSpaceDN w:val="0"/>
        <w:adjustRightInd w:val="0"/>
        <w:jc w:val="both"/>
      </w:pPr>
      <w:r w:rsidRPr="00B62337">
        <w:t>Facilities with</w:t>
      </w:r>
      <w:r w:rsidR="00971D20" w:rsidRPr="00B62337">
        <w:t xml:space="preserve"> an Alzheimer’s </w:t>
      </w:r>
      <w:r w:rsidR="002E464D">
        <w:t>d</w:t>
      </w:r>
      <w:r w:rsidR="00935519">
        <w:t xml:space="preserve">isease </w:t>
      </w:r>
      <w:r w:rsidR="00971D20" w:rsidRPr="00B62337">
        <w:t>endorsement</w:t>
      </w:r>
      <w:r w:rsidR="008B3DC4" w:rsidRPr="00B62337">
        <w:t xml:space="preserve"> may charge prices</w:t>
      </w:r>
      <w:r w:rsidR="00971D20" w:rsidRPr="00B62337">
        <w:t xml:space="preserve"> </w:t>
      </w:r>
      <w:r w:rsidR="008B3DC4" w:rsidRPr="00B62337">
        <w:t>ranging</w:t>
      </w:r>
      <w:r w:rsidR="0061686C" w:rsidRPr="00B62337">
        <w:t xml:space="preserve"> from $1</w:t>
      </w:r>
      <w:r w:rsidR="00CF2247">
        <w:t>,</w:t>
      </w:r>
      <w:r w:rsidR="0061686C" w:rsidRPr="00B62337">
        <w:t>000</w:t>
      </w:r>
      <w:r w:rsidR="00935519">
        <w:t> </w:t>
      </w:r>
      <w:r w:rsidR="00971D20" w:rsidRPr="00B62337">
        <w:t>per mont</w:t>
      </w:r>
      <w:r w:rsidR="00935519">
        <w:t>h for those declaring to be low-</w:t>
      </w:r>
      <w:r w:rsidR="00971D20" w:rsidRPr="00B62337">
        <w:t xml:space="preserve">income (42 beds </w:t>
      </w:r>
      <w:r w:rsidR="0061686C" w:rsidRPr="00B62337">
        <w:t xml:space="preserve">are </w:t>
      </w:r>
      <w:r w:rsidR="00971D20" w:rsidRPr="00B62337">
        <w:t>low</w:t>
      </w:r>
      <w:r w:rsidR="00935519">
        <w:t>-</w:t>
      </w:r>
      <w:r w:rsidR="00971D20" w:rsidRPr="00B62337">
        <w:t xml:space="preserve">income </w:t>
      </w:r>
      <w:r w:rsidR="0061686C" w:rsidRPr="00B62337">
        <w:t>based on the BHCQC</w:t>
      </w:r>
      <w:r w:rsidR="00CF2247">
        <w:t>’s</w:t>
      </w:r>
      <w:r w:rsidR="00971D20" w:rsidRPr="00B62337">
        <w:t xml:space="preserve"> current </w:t>
      </w:r>
      <w:r w:rsidRPr="00B62337">
        <w:t>database</w:t>
      </w:r>
      <w:r w:rsidR="00971D20" w:rsidRPr="00B62337">
        <w:t xml:space="preserve">) up to $5,700 per month. </w:t>
      </w:r>
      <w:r w:rsidR="00CF2247">
        <w:t xml:space="preserve"> </w:t>
      </w:r>
      <w:r w:rsidR="00971D20" w:rsidRPr="00B62337">
        <w:t>Some larger facilities have the option of shared accommodations an</w:t>
      </w:r>
      <w:r w:rsidR="000D10D7" w:rsidRPr="00B62337">
        <w:t>d the rate varies from $2,</w:t>
      </w:r>
      <w:r w:rsidR="00971D20" w:rsidRPr="00B62337">
        <w:t>995 to $3,850</w:t>
      </w:r>
      <w:r w:rsidR="008B3DC4" w:rsidRPr="00B62337">
        <w:t xml:space="preserve"> per month</w:t>
      </w:r>
      <w:r w:rsidR="00971D20" w:rsidRPr="00B62337">
        <w:t>.</w:t>
      </w:r>
      <w:r w:rsidR="000C0F78" w:rsidRPr="00B62337">
        <w:rPr>
          <w:rStyle w:val="EndnoteReference"/>
        </w:rPr>
        <w:endnoteReference w:id="23"/>
      </w:r>
      <w:r w:rsidR="008B3DC4" w:rsidRPr="00B62337">
        <w:t xml:space="preserve"> </w:t>
      </w:r>
    </w:p>
    <w:p w:rsidR="000D10D7" w:rsidRPr="00FF5E75" w:rsidRDefault="000D10D7" w:rsidP="00AB074D">
      <w:pPr>
        <w:widowControl w:val="0"/>
        <w:autoSpaceDE w:val="0"/>
        <w:autoSpaceDN w:val="0"/>
        <w:adjustRightInd w:val="0"/>
        <w:jc w:val="both"/>
        <w:rPr>
          <w:sz w:val="20"/>
          <w:szCs w:val="20"/>
        </w:rPr>
      </w:pPr>
    </w:p>
    <w:p w:rsidR="00B1053D" w:rsidRPr="00B1053D" w:rsidRDefault="009B1099" w:rsidP="00A047C6">
      <w:pPr>
        <w:widowControl w:val="0"/>
        <w:autoSpaceDE w:val="0"/>
        <w:autoSpaceDN w:val="0"/>
        <w:adjustRightInd w:val="0"/>
        <w:jc w:val="both"/>
        <w:rPr>
          <w:u w:val="single"/>
        </w:rPr>
      </w:pPr>
      <w:r w:rsidRPr="00B62337">
        <w:rPr>
          <w:b/>
        </w:rPr>
        <w:t>Recommendation</w:t>
      </w:r>
      <w:r w:rsidR="00956CD9">
        <w:rPr>
          <w:b/>
        </w:rPr>
        <w:t xml:space="preserve"> 9</w:t>
      </w:r>
      <w:r w:rsidRPr="00B62337">
        <w:rPr>
          <w:b/>
        </w:rPr>
        <w:t>:</w:t>
      </w:r>
      <w:r w:rsidR="009F0218" w:rsidRPr="00CF409C">
        <w:t xml:space="preserve"> </w:t>
      </w:r>
      <w:r w:rsidR="00B1053D">
        <w:t xml:space="preserve"> </w:t>
      </w:r>
      <w:r w:rsidR="00BF7C1F">
        <w:t xml:space="preserve">Continue to </w:t>
      </w:r>
      <w:r w:rsidR="002F7832">
        <w:t>r</w:t>
      </w:r>
      <w:r w:rsidR="00B1053D">
        <w:t xml:space="preserve">eview current funding and </w:t>
      </w:r>
      <w:r w:rsidR="00FB111B">
        <w:t xml:space="preserve">potential </w:t>
      </w:r>
      <w:r w:rsidR="00B1053D">
        <w:t xml:space="preserve">funding streams to support </w:t>
      </w:r>
      <w:r w:rsidR="00F20F1F">
        <w:t>the development of quality long-</w:t>
      </w:r>
      <w:r w:rsidR="00B1053D">
        <w:t xml:space="preserve">term care facilities in Nevada.  </w:t>
      </w:r>
      <w:r w:rsidR="00B1053D" w:rsidRPr="00B62337">
        <w:t>Provide funding or incentives to encourage long</w:t>
      </w:r>
      <w:r w:rsidR="00B1053D">
        <w:t>-</w:t>
      </w:r>
      <w:r w:rsidR="00B1053D" w:rsidRPr="00B62337">
        <w:t xml:space="preserve">term care organizations to </w:t>
      </w:r>
      <w:r w:rsidR="00B1053D">
        <w:t>develop</w:t>
      </w:r>
      <w:r w:rsidR="00B1053D" w:rsidRPr="00B62337">
        <w:t xml:space="preserve"> facilities </w:t>
      </w:r>
      <w:r w:rsidR="00B1053D">
        <w:t xml:space="preserve">and to </w:t>
      </w:r>
      <w:r w:rsidR="00B1053D" w:rsidRPr="00B62337">
        <w:t xml:space="preserve">encourage existing facilities to increase capacity for placement of individuals with Alzheimer’s </w:t>
      </w:r>
      <w:r w:rsidR="00B1053D">
        <w:t>d</w:t>
      </w:r>
      <w:r w:rsidR="00B1053D" w:rsidRPr="00B62337">
        <w:t xml:space="preserve">isease and </w:t>
      </w:r>
      <w:r w:rsidR="00585971">
        <w:t>related disorders</w:t>
      </w:r>
      <w:r w:rsidR="00BF7C1F">
        <w:t xml:space="preserve"> with an emphasis on person-centered planning and initiatives</w:t>
      </w:r>
      <w:r w:rsidR="00FB111B">
        <w:t>.</w:t>
      </w:r>
    </w:p>
    <w:p w:rsidR="00B1053D" w:rsidRPr="00FF5E75" w:rsidRDefault="00B1053D" w:rsidP="00AB074D">
      <w:pPr>
        <w:tabs>
          <w:tab w:val="left" w:pos="360"/>
          <w:tab w:val="left" w:pos="720"/>
          <w:tab w:val="left" w:pos="1080"/>
        </w:tabs>
        <w:jc w:val="both"/>
        <w:rPr>
          <w:sz w:val="20"/>
          <w:szCs w:val="20"/>
        </w:rPr>
      </w:pPr>
    </w:p>
    <w:p w:rsidR="009B1099" w:rsidRPr="00B62337" w:rsidRDefault="00B113B9" w:rsidP="00AB074D">
      <w:pPr>
        <w:tabs>
          <w:tab w:val="left" w:pos="360"/>
          <w:tab w:val="left" w:pos="720"/>
          <w:tab w:val="left" w:pos="1080"/>
        </w:tabs>
        <w:jc w:val="both"/>
        <w:rPr>
          <w:iCs/>
        </w:rPr>
      </w:pPr>
      <w:r w:rsidRPr="00B62337">
        <w:rPr>
          <w:b/>
          <w:iCs/>
        </w:rPr>
        <w:t>Indicators:</w:t>
      </w:r>
      <w:r w:rsidRPr="00B62337">
        <w:rPr>
          <w:iCs/>
        </w:rPr>
        <w:t xml:space="preserve"> </w:t>
      </w:r>
      <w:r w:rsidR="00CF409C">
        <w:rPr>
          <w:iCs/>
        </w:rPr>
        <w:t xml:space="preserve"> </w:t>
      </w:r>
      <w:r w:rsidRPr="00B62337">
        <w:rPr>
          <w:iCs/>
        </w:rPr>
        <w:t xml:space="preserve">Increased number of </w:t>
      </w:r>
      <w:r w:rsidR="003B12A4" w:rsidRPr="00B62337">
        <w:rPr>
          <w:iCs/>
        </w:rPr>
        <w:t>long-term</w:t>
      </w:r>
      <w:r w:rsidRPr="00B62337">
        <w:rPr>
          <w:iCs/>
        </w:rPr>
        <w:t xml:space="preserve"> care placement options for </w:t>
      </w:r>
      <w:r w:rsidR="00A815B9">
        <w:rPr>
          <w:iCs/>
        </w:rPr>
        <w:t xml:space="preserve">persons with </w:t>
      </w:r>
      <w:r w:rsidRPr="00B62337">
        <w:rPr>
          <w:iCs/>
        </w:rPr>
        <w:t xml:space="preserve">Alzheimer’s </w:t>
      </w:r>
      <w:r w:rsidR="00A815B9">
        <w:rPr>
          <w:iCs/>
        </w:rPr>
        <w:t>d</w:t>
      </w:r>
      <w:r w:rsidR="002C229F">
        <w:rPr>
          <w:iCs/>
        </w:rPr>
        <w:t xml:space="preserve">isease </w:t>
      </w:r>
      <w:r w:rsidR="00A815B9">
        <w:rPr>
          <w:iCs/>
        </w:rPr>
        <w:t xml:space="preserve">and </w:t>
      </w:r>
      <w:r w:rsidR="00F72453">
        <w:rPr>
          <w:iCs/>
        </w:rPr>
        <w:t>related disorders</w:t>
      </w:r>
      <w:r w:rsidR="00CF409C">
        <w:rPr>
          <w:iCs/>
        </w:rPr>
        <w:t xml:space="preserve">. </w:t>
      </w:r>
      <w:r w:rsidRPr="00B62337">
        <w:rPr>
          <w:iCs/>
        </w:rPr>
        <w:t xml:space="preserve"> </w:t>
      </w:r>
      <w:r w:rsidR="0050280F" w:rsidRPr="00B62337">
        <w:rPr>
          <w:iCs/>
        </w:rPr>
        <w:t xml:space="preserve">  </w:t>
      </w:r>
    </w:p>
    <w:p w:rsidR="00B113B9" w:rsidRPr="00FF5E75" w:rsidRDefault="00B113B9" w:rsidP="00AB074D">
      <w:pPr>
        <w:tabs>
          <w:tab w:val="left" w:pos="360"/>
          <w:tab w:val="left" w:pos="720"/>
          <w:tab w:val="left" w:pos="1080"/>
        </w:tabs>
        <w:jc w:val="both"/>
        <w:rPr>
          <w:iCs/>
          <w:sz w:val="20"/>
          <w:szCs w:val="20"/>
        </w:rPr>
      </w:pPr>
    </w:p>
    <w:p w:rsidR="0084317B" w:rsidRDefault="001C6174" w:rsidP="00016C6F">
      <w:pPr>
        <w:tabs>
          <w:tab w:val="left" w:pos="360"/>
          <w:tab w:val="left" w:pos="720"/>
          <w:tab w:val="left" w:pos="1080"/>
        </w:tabs>
        <w:jc w:val="both"/>
        <w:rPr>
          <w:iCs/>
        </w:rPr>
      </w:pPr>
      <w:r w:rsidRPr="00B62337">
        <w:rPr>
          <w:b/>
          <w:iCs/>
        </w:rPr>
        <w:t>Potential Funding:</w:t>
      </w:r>
      <w:r w:rsidR="0025700E">
        <w:rPr>
          <w:b/>
          <w:iCs/>
        </w:rPr>
        <w:t xml:space="preserve"> </w:t>
      </w:r>
      <w:r w:rsidR="00B113B9" w:rsidRPr="00B62337">
        <w:rPr>
          <w:b/>
          <w:iCs/>
        </w:rPr>
        <w:t xml:space="preserve"> </w:t>
      </w:r>
      <w:r w:rsidR="00285C2E" w:rsidRPr="0025700E">
        <w:rPr>
          <w:iCs/>
        </w:rPr>
        <w:t xml:space="preserve">Economic </w:t>
      </w:r>
      <w:r w:rsidR="0025700E">
        <w:rPr>
          <w:iCs/>
        </w:rPr>
        <w:t>d</w:t>
      </w:r>
      <w:r w:rsidR="00285C2E" w:rsidRPr="0025700E">
        <w:rPr>
          <w:iCs/>
        </w:rPr>
        <w:t>evelopment funds (Economic Development Authority of Western Nevada, Nevada</w:t>
      </w:r>
      <w:r w:rsidR="0025700E">
        <w:rPr>
          <w:iCs/>
        </w:rPr>
        <w:t>’s</w:t>
      </w:r>
      <w:r w:rsidR="00285C2E" w:rsidRPr="0025700E">
        <w:rPr>
          <w:iCs/>
        </w:rPr>
        <w:t xml:space="preserve"> </w:t>
      </w:r>
      <w:r w:rsidR="00AD13D7">
        <w:rPr>
          <w:iCs/>
        </w:rPr>
        <w:t>Office of Economic Development</w:t>
      </w:r>
      <w:r w:rsidR="00285C2E" w:rsidRPr="0025700E">
        <w:rPr>
          <w:iCs/>
        </w:rPr>
        <w:t>, Nevada Development Authority</w:t>
      </w:r>
      <w:r w:rsidR="00BF7C1F">
        <w:rPr>
          <w:iCs/>
        </w:rPr>
        <w:t>,</w:t>
      </w:r>
      <w:r w:rsidR="00BF7C1F" w:rsidRPr="00BF7C1F">
        <w:rPr>
          <w:iCs/>
        </w:rPr>
        <w:t xml:space="preserve"> </w:t>
      </w:r>
      <w:r w:rsidR="00BF7C1F">
        <w:rPr>
          <w:iCs/>
        </w:rPr>
        <w:t>Medicaid expansion, HCBS, and expansion through behavioral rate, VA or Legislative approval of state funds, Increased supplemental SSI rate</w:t>
      </w:r>
      <w:r w:rsidR="0025700E">
        <w:rPr>
          <w:iCs/>
        </w:rPr>
        <w:t>)</w:t>
      </w:r>
      <w:r w:rsidR="002C229F">
        <w:rPr>
          <w:iCs/>
        </w:rPr>
        <w:t>; tax incentives.</w:t>
      </w:r>
      <w:r w:rsidR="00BF7C1F">
        <w:rPr>
          <w:iCs/>
        </w:rPr>
        <w:t xml:space="preserve">  </w:t>
      </w:r>
    </w:p>
    <w:p w:rsidR="0084317B" w:rsidRDefault="0084317B"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iCs/>
          <w:u w:val="single"/>
        </w:rPr>
        <w:t>Long-Term Care for Alzheimer’s Disease Patients With Challenging Behaviors</w:t>
      </w: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iCs/>
        </w:rPr>
        <w:t xml:space="preserve">Testimony indicated that 35 individuals with Alzheimer’s disease or related disorders and behavioral problems are placed in out-of-state nursing facilities at an annual cost to the State of approximately $2.3 million.  Nevada has a shortage of skilled nursing facilities that provide care to this patient group.  Presently, eight skilled nursing facilities accommodate individuals in a </w:t>
      </w:r>
      <w:r w:rsidRPr="00016C6F">
        <w:rPr>
          <w:iCs/>
        </w:rPr>
        <w:lastRenderedPageBreak/>
        <w:t>secured setting; three are in northern Nevada and five are in southern Nevada.  Frequently, these patients are seen in hospital emergency rooms to receive medical care and are unable to be placed in a skilled nursing facility.  Importantly, the challenging behaviors that develop in persons with Alzheimer’s disease are preventable. Ideally, Nevadans with neurocognitive disorders would receive appropriate support so that they never reach a point where their behavior is considered unmanageable.</w:t>
      </w: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iCs/>
        </w:rPr>
        <w:t xml:space="preserve">Several contributing factors for these out-of-state, long-term care placements </w:t>
      </w:r>
      <w:commentRangeStart w:id="5"/>
      <w:r w:rsidRPr="00016C6F">
        <w:rPr>
          <w:iCs/>
        </w:rPr>
        <w:t>include</w:t>
      </w:r>
      <w:commentRangeEnd w:id="5"/>
      <w:r w:rsidRPr="00016C6F">
        <w:rPr>
          <w:iCs/>
        </w:rPr>
        <w:commentReference w:id="5"/>
      </w:r>
      <w:r w:rsidRPr="00016C6F">
        <w:rPr>
          <w:iCs/>
        </w:rPr>
        <w:t>:</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5"/>
        </w:numPr>
        <w:tabs>
          <w:tab w:val="left" w:pos="360"/>
          <w:tab w:val="left" w:pos="720"/>
          <w:tab w:val="left" w:pos="1080"/>
        </w:tabs>
        <w:jc w:val="both"/>
        <w:rPr>
          <w:iCs/>
        </w:rPr>
      </w:pPr>
      <w:r w:rsidRPr="00016C6F">
        <w:rPr>
          <w:iCs/>
        </w:rPr>
        <w:t>A lack of family and professional caregiver knowledge and skill in accurately identifying and effectively responding to behavior changes that are due to treatable medical (e.g., pain, infection, medication side effect) and/or environmental adverse events (e.g., punitive corrective feedback) in persons with Alzheimer’s disease and other neurocognitive disorders;</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5"/>
        </w:numPr>
        <w:tabs>
          <w:tab w:val="left" w:pos="360"/>
          <w:tab w:val="left" w:pos="720"/>
          <w:tab w:val="left" w:pos="1080"/>
        </w:tabs>
        <w:jc w:val="both"/>
        <w:rPr>
          <w:iCs/>
        </w:rPr>
      </w:pPr>
      <w:r w:rsidRPr="00016C6F">
        <w:rPr>
          <w:iCs/>
        </w:rPr>
        <w:t>An overreliance on “restraint-based” methods for responding to affective and behavioral changes in persons with dementia. Restraint based methods are those that produce premature loss of behavior or “excess” disability that results in an individual with dementia needing a more restrictive level of care than would be the case if evidence based behavioral healthcare was provided;</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5"/>
        </w:numPr>
        <w:tabs>
          <w:tab w:val="left" w:pos="360"/>
          <w:tab w:val="left" w:pos="720"/>
          <w:tab w:val="left" w:pos="1080"/>
        </w:tabs>
        <w:jc w:val="both"/>
        <w:rPr>
          <w:iCs/>
        </w:rPr>
      </w:pPr>
      <w:r w:rsidRPr="00016C6F">
        <w:rPr>
          <w:iCs/>
        </w:rPr>
        <w:t xml:space="preserve">Industry concerns about increased potential for cited deficiencies and possible sanctions related to aggressive behaviors that may result in injury to the resident, other residents, or staff; </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5"/>
        </w:numPr>
        <w:tabs>
          <w:tab w:val="left" w:pos="360"/>
          <w:tab w:val="left" w:pos="720"/>
          <w:tab w:val="left" w:pos="1080"/>
        </w:tabs>
        <w:jc w:val="both"/>
        <w:rPr>
          <w:iCs/>
        </w:rPr>
      </w:pPr>
      <w:r w:rsidRPr="00016C6F">
        <w:rPr>
          <w:iCs/>
        </w:rPr>
        <w:t>Industry concerns regarding the need for increased staff-to-patient ratios to accommodate residents with more aggressive or challenging behaviors; and</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5"/>
        </w:numPr>
        <w:tabs>
          <w:tab w:val="left" w:pos="360"/>
          <w:tab w:val="left" w:pos="720"/>
          <w:tab w:val="left" w:pos="1080"/>
        </w:tabs>
        <w:jc w:val="both"/>
        <w:rPr>
          <w:iCs/>
        </w:rPr>
      </w:pPr>
      <w:r w:rsidRPr="00016C6F">
        <w:rPr>
          <w:iCs/>
        </w:rPr>
        <w:t>Difficulty in recruiting staff who are trained to manage behavior effectively.</w:t>
      </w:r>
    </w:p>
    <w:p w:rsidR="00FB111B" w:rsidRDefault="00FB111B"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iCs/>
        </w:rPr>
        <w:t xml:space="preserve">Several methods to address the problem were presented in 2003 and were recounted for the Task Force.  Those recommendations include: </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6"/>
        </w:numPr>
        <w:tabs>
          <w:tab w:val="left" w:pos="360"/>
          <w:tab w:val="left" w:pos="720"/>
          <w:tab w:val="left" w:pos="1080"/>
        </w:tabs>
        <w:jc w:val="both"/>
        <w:rPr>
          <w:iCs/>
        </w:rPr>
      </w:pPr>
      <w:r w:rsidRPr="00016C6F">
        <w:rPr>
          <w:iCs/>
        </w:rPr>
        <w:t>Recruiting an out-of-state provider with a specialty in working with this population to open a facility in Nevada;</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6"/>
        </w:numPr>
        <w:tabs>
          <w:tab w:val="left" w:pos="360"/>
          <w:tab w:val="left" w:pos="720"/>
          <w:tab w:val="left" w:pos="1080"/>
        </w:tabs>
        <w:jc w:val="both"/>
        <w:rPr>
          <w:iCs/>
        </w:rPr>
      </w:pPr>
      <w:r w:rsidRPr="00016C6F">
        <w:rPr>
          <w:iCs/>
        </w:rPr>
        <w:t>Developing a team to identify behavioral interventions necessary to address the needs of an individual and enhance patient safety.  The team would be readily available to assist nursing facilities when a resident exhibits behavioral problems; and</w:t>
      </w:r>
    </w:p>
    <w:p w:rsidR="00016C6F" w:rsidRPr="00016C6F" w:rsidRDefault="00016C6F" w:rsidP="00016C6F">
      <w:pPr>
        <w:tabs>
          <w:tab w:val="left" w:pos="360"/>
          <w:tab w:val="left" w:pos="720"/>
          <w:tab w:val="left" w:pos="1080"/>
        </w:tabs>
        <w:jc w:val="both"/>
        <w:rPr>
          <w:iCs/>
        </w:rPr>
      </w:pPr>
    </w:p>
    <w:p w:rsidR="00016C6F" w:rsidRPr="00016C6F" w:rsidRDefault="00016C6F" w:rsidP="00016C6F">
      <w:pPr>
        <w:numPr>
          <w:ilvl w:val="0"/>
          <w:numId w:val="6"/>
        </w:numPr>
        <w:tabs>
          <w:tab w:val="left" w:pos="360"/>
          <w:tab w:val="left" w:pos="720"/>
          <w:tab w:val="left" w:pos="1080"/>
        </w:tabs>
        <w:jc w:val="both"/>
        <w:rPr>
          <w:iCs/>
        </w:rPr>
      </w:pPr>
      <w:r w:rsidRPr="00016C6F">
        <w:rPr>
          <w:iCs/>
        </w:rPr>
        <w:t xml:space="preserve">Using State-owned mental health facilities to serve individuals with severe behavioral problems. </w:t>
      </w: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u w:val="single"/>
        </w:rPr>
      </w:pPr>
      <w:r w:rsidRPr="00016C6F">
        <w:rPr>
          <w:b/>
          <w:iCs/>
        </w:rPr>
        <w:t xml:space="preserve">Recommendation 10:  </w:t>
      </w:r>
      <w:r w:rsidRPr="00016C6F">
        <w:rPr>
          <w:iCs/>
        </w:rPr>
        <w:t>Reduce the need for out-of-state placements in Nevada by:</w:t>
      </w:r>
    </w:p>
    <w:p w:rsidR="00016C6F" w:rsidRPr="00016C6F" w:rsidRDefault="00016C6F" w:rsidP="00016C6F">
      <w:pPr>
        <w:tabs>
          <w:tab w:val="left" w:pos="360"/>
          <w:tab w:val="left" w:pos="720"/>
          <w:tab w:val="left" w:pos="1080"/>
        </w:tabs>
        <w:jc w:val="both"/>
        <w:rPr>
          <w:iCs/>
        </w:rPr>
      </w:pPr>
    </w:p>
    <w:p w:rsidR="00016C6F" w:rsidRPr="00016C6F" w:rsidRDefault="00016C6F" w:rsidP="006102DE">
      <w:pPr>
        <w:numPr>
          <w:ilvl w:val="0"/>
          <w:numId w:val="31"/>
        </w:numPr>
        <w:tabs>
          <w:tab w:val="left" w:pos="360"/>
          <w:tab w:val="left" w:pos="720"/>
          <w:tab w:val="left" w:pos="1080"/>
        </w:tabs>
        <w:jc w:val="both"/>
        <w:rPr>
          <w:iCs/>
        </w:rPr>
      </w:pPr>
      <w:r w:rsidRPr="00016C6F">
        <w:rPr>
          <w:iCs/>
        </w:rPr>
        <w:lastRenderedPageBreak/>
        <w:t>Preventing the conditions that lead to the development of challenging behaviors and  increase the risk of out of state placement by creating a clearinghouse for information on evidence-based, patient-centered approaches to promoting the behavioral health and quality of life of individuals with Alzheimer’s disease and related disorders and their family caregivers</w:t>
      </w:r>
      <w:r w:rsidR="005E6566">
        <w:rPr>
          <w:iCs/>
        </w:rPr>
        <w:t>.</w:t>
      </w:r>
    </w:p>
    <w:p w:rsidR="00016C6F" w:rsidRPr="00016C6F" w:rsidRDefault="00016C6F" w:rsidP="00016C6F">
      <w:pPr>
        <w:tabs>
          <w:tab w:val="left" w:pos="360"/>
          <w:tab w:val="left" w:pos="720"/>
          <w:tab w:val="left" w:pos="1080"/>
        </w:tabs>
        <w:jc w:val="both"/>
        <w:rPr>
          <w:iCs/>
        </w:rPr>
      </w:pPr>
    </w:p>
    <w:p w:rsidR="00016C6F" w:rsidRPr="00016C6F" w:rsidRDefault="00016C6F" w:rsidP="006102DE">
      <w:pPr>
        <w:numPr>
          <w:ilvl w:val="0"/>
          <w:numId w:val="31"/>
        </w:numPr>
        <w:tabs>
          <w:tab w:val="left" w:pos="360"/>
          <w:tab w:val="left" w:pos="720"/>
          <w:tab w:val="left" w:pos="1080"/>
        </w:tabs>
        <w:jc w:val="both"/>
        <w:rPr>
          <w:iCs/>
        </w:rPr>
      </w:pPr>
      <w:r w:rsidRPr="00016C6F">
        <w:rPr>
          <w:iCs/>
        </w:rPr>
        <w:t xml:space="preserve">Initiating a public health information program to increase easy access to information on “optimal” care and quality of life, and expected vs. unexpected behavior change in persons with dementia when an individual has been diagnosed with a neurocognitive disorder </w:t>
      </w:r>
    </w:p>
    <w:p w:rsidR="00016C6F" w:rsidRPr="00016C6F" w:rsidRDefault="00016C6F" w:rsidP="00016C6F">
      <w:pPr>
        <w:tabs>
          <w:tab w:val="left" w:pos="360"/>
          <w:tab w:val="left" w:pos="720"/>
          <w:tab w:val="left" w:pos="1080"/>
        </w:tabs>
        <w:jc w:val="both"/>
        <w:rPr>
          <w:iCs/>
        </w:rPr>
      </w:pPr>
    </w:p>
    <w:p w:rsidR="00016C6F" w:rsidRPr="00016C6F" w:rsidRDefault="00016C6F" w:rsidP="006102DE">
      <w:pPr>
        <w:numPr>
          <w:ilvl w:val="0"/>
          <w:numId w:val="31"/>
        </w:numPr>
        <w:tabs>
          <w:tab w:val="left" w:pos="360"/>
          <w:tab w:val="left" w:pos="720"/>
          <w:tab w:val="left" w:pos="1080"/>
        </w:tabs>
        <w:jc w:val="both"/>
        <w:rPr>
          <w:iCs/>
        </w:rPr>
      </w:pPr>
      <w:r w:rsidRPr="00016C6F">
        <w:rPr>
          <w:iCs/>
        </w:rPr>
        <w:t>Increasing the ability of family and professional caregivers (in primary, acute, and long-term care settings) to appropriately and effectively respond to behavior change in persons with neurocognitive disorders through education and guided practice by experts in evidence based methods of behavioral health</w:t>
      </w:r>
      <w:r w:rsidR="005E6566">
        <w:rPr>
          <w:iCs/>
        </w:rPr>
        <w:t>.</w:t>
      </w:r>
      <w:r w:rsidRPr="00016C6F">
        <w:rPr>
          <w:iCs/>
        </w:rPr>
        <w:t xml:space="preserve"> </w:t>
      </w:r>
    </w:p>
    <w:p w:rsidR="00016C6F" w:rsidRPr="00016C6F" w:rsidRDefault="00016C6F" w:rsidP="00016C6F">
      <w:pPr>
        <w:tabs>
          <w:tab w:val="left" w:pos="360"/>
          <w:tab w:val="left" w:pos="720"/>
          <w:tab w:val="left" w:pos="1080"/>
        </w:tabs>
        <w:jc w:val="both"/>
        <w:rPr>
          <w:iCs/>
        </w:rPr>
      </w:pPr>
    </w:p>
    <w:p w:rsidR="00822352" w:rsidRDefault="00016C6F" w:rsidP="006102DE">
      <w:pPr>
        <w:numPr>
          <w:ilvl w:val="0"/>
          <w:numId w:val="31"/>
        </w:numPr>
        <w:tabs>
          <w:tab w:val="left" w:pos="360"/>
          <w:tab w:val="left" w:pos="720"/>
          <w:tab w:val="left" w:pos="1080"/>
        </w:tabs>
        <w:jc w:val="both"/>
        <w:rPr>
          <w:iCs/>
        </w:rPr>
      </w:pPr>
      <w:r w:rsidRPr="005E6566">
        <w:rPr>
          <w:iCs/>
        </w:rPr>
        <w:t xml:space="preserve">Using a higher reimbursement rate as an incentive for facilities to provide specialized care. </w:t>
      </w:r>
    </w:p>
    <w:p w:rsidR="00822352" w:rsidRDefault="00822352">
      <w:pPr>
        <w:pStyle w:val="ListParagraph"/>
        <w:rPr>
          <w:iCs/>
        </w:rPr>
      </w:pPr>
    </w:p>
    <w:p w:rsidR="00822352" w:rsidRDefault="005E6566" w:rsidP="006102DE">
      <w:pPr>
        <w:numPr>
          <w:ilvl w:val="0"/>
          <w:numId w:val="31"/>
        </w:numPr>
        <w:tabs>
          <w:tab w:val="left" w:pos="360"/>
          <w:tab w:val="left" w:pos="720"/>
          <w:tab w:val="left" w:pos="1080"/>
        </w:tabs>
        <w:jc w:val="both"/>
        <w:rPr>
          <w:iCs/>
        </w:rPr>
      </w:pPr>
      <w:r w:rsidRPr="005E6566">
        <w:rPr>
          <w:iCs/>
        </w:rPr>
        <w:t>D</w:t>
      </w:r>
      <w:r w:rsidR="00016C6F" w:rsidRPr="005E6566">
        <w:rPr>
          <w:iCs/>
        </w:rPr>
        <w:t>eveloping mobile individuals or teams that respond to and evaluate persons in need of specialized interventions.  These multidisciplinary teams or individuals evaluate the person with dementia, provide assessment, and give training to staff and family members before the person with dementia moves into a catastrophic situation.</w:t>
      </w:r>
    </w:p>
    <w:p w:rsidR="00822352" w:rsidRDefault="00822352">
      <w:pPr>
        <w:pStyle w:val="ListParagraph"/>
        <w:rPr>
          <w:iCs/>
        </w:rPr>
      </w:pPr>
    </w:p>
    <w:p w:rsidR="00822352" w:rsidRDefault="00016C6F" w:rsidP="006102DE">
      <w:pPr>
        <w:numPr>
          <w:ilvl w:val="0"/>
          <w:numId w:val="31"/>
        </w:numPr>
        <w:tabs>
          <w:tab w:val="left" w:pos="360"/>
          <w:tab w:val="left" w:pos="720"/>
          <w:tab w:val="left" w:pos="1080"/>
        </w:tabs>
        <w:jc w:val="both"/>
        <w:rPr>
          <w:iCs/>
        </w:rPr>
      </w:pPr>
      <w:r w:rsidRPr="005E6566">
        <w:rPr>
          <w:iCs/>
        </w:rPr>
        <w:t>Developing plans for more adequate placement of individuals with Alzheimer’s disease and related disorders</w:t>
      </w:r>
      <w:r w:rsidR="005E6566">
        <w:rPr>
          <w:iCs/>
        </w:rPr>
        <w:t>.</w:t>
      </w:r>
    </w:p>
    <w:p w:rsidR="00822352" w:rsidRDefault="00822352">
      <w:pPr>
        <w:pStyle w:val="ListParagraph"/>
        <w:rPr>
          <w:iCs/>
        </w:rPr>
      </w:pPr>
    </w:p>
    <w:p w:rsidR="00822352" w:rsidRDefault="00016C6F" w:rsidP="006102DE">
      <w:pPr>
        <w:numPr>
          <w:ilvl w:val="0"/>
          <w:numId w:val="31"/>
        </w:numPr>
        <w:tabs>
          <w:tab w:val="left" w:pos="360"/>
          <w:tab w:val="left" w:pos="720"/>
          <w:tab w:val="left" w:pos="1080"/>
        </w:tabs>
        <w:jc w:val="both"/>
        <w:rPr>
          <w:iCs/>
        </w:rPr>
      </w:pPr>
      <w:r w:rsidRPr="005E6566">
        <w:rPr>
          <w:iCs/>
        </w:rPr>
        <w:t xml:space="preserve">Reviewing regulatory measures that may serve as barriers to facilities that are willing to provide care to persons with </w:t>
      </w:r>
      <w:commentRangeStart w:id="6"/>
      <w:r w:rsidRPr="005E6566">
        <w:rPr>
          <w:iCs/>
        </w:rPr>
        <w:t>dementia</w:t>
      </w:r>
      <w:commentRangeEnd w:id="6"/>
      <w:r w:rsidRPr="00016C6F">
        <w:rPr>
          <w:iCs/>
        </w:rPr>
        <w:commentReference w:id="6"/>
      </w:r>
      <w:r w:rsidR="005E6566">
        <w:rPr>
          <w:iCs/>
        </w:rPr>
        <w:t>.</w:t>
      </w:r>
    </w:p>
    <w:p w:rsidR="00822352" w:rsidRDefault="00822352">
      <w:pPr>
        <w:pStyle w:val="ListParagraph"/>
        <w:rPr>
          <w:iCs/>
        </w:rPr>
      </w:pPr>
    </w:p>
    <w:p w:rsidR="00822352" w:rsidRDefault="00016C6F" w:rsidP="006102DE">
      <w:pPr>
        <w:numPr>
          <w:ilvl w:val="0"/>
          <w:numId w:val="31"/>
        </w:numPr>
        <w:tabs>
          <w:tab w:val="left" w:pos="360"/>
          <w:tab w:val="left" w:pos="720"/>
          <w:tab w:val="left" w:pos="1080"/>
        </w:tabs>
        <w:jc w:val="both"/>
        <w:rPr>
          <w:iCs/>
        </w:rPr>
      </w:pPr>
      <w:r w:rsidRPr="005E6566">
        <w:rPr>
          <w:iCs/>
        </w:rPr>
        <w:t xml:space="preserve">Investigating the feasibility of having specialized units in facilities in Nevada that specialize in dementia care for individuals with challenging behavioral issues.  </w:t>
      </w: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b/>
          <w:iCs/>
        </w:rPr>
        <w:t>Indicators:</w:t>
      </w:r>
      <w:r w:rsidRPr="00016C6F">
        <w:rPr>
          <w:iCs/>
        </w:rPr>
        <w:t xml:space="preserve">  Decreased number of out-of-state placements.  Establishment of new collaborations to address this population between long-term care providers and behavioral health professionals, such as collaboration with behavioral health programs at institutions within the NSHE.  </w:t>
      </w:r>
    </w:p>
    <w:p w:rsidR="00016C6F" w:rsidRPr="00016C6F" w:rsidRDefault="00016C6F" w:rsidP="00016C6F">
      <w:pPr>
        <w:tabs>
          <w:tab w:val="left" w:pos="360"/>
          <w:tab w:val="left" w:pos="720"/>
          <w:tab w:val="left" w:pos="1080"/>
        </w:tabs>
        <w:jc w:val="both"/>
        <w:rPr>
          <w:iCs/>
        </w:rPr>
      </w:pPr>
    </w:p>
    <w:p w:rsidR="00016C6F" w:rsidRPr="00016C6F" w:rsidRDefault="00016C6F" w:rsidP="00016C6F">
      <w:pPr>
        <w:tabs>
          <w:tab w:val="left" w:pos="360"/>
          <w:tab w:val="left" w:pos="720"/>
          <w:tab w:val="left" w:pos="1080"/>
        </w:tabs>
        <w:jc w:val="both"/>
        <w:rPr>
          <w:iCs/>
        </w:rPr>
      </w:pPr>
      <w:r w:rsidRPr="00016C6F">
        <w:rPr>
          <w:b/>
          <w:iCs/>
        </w:rPr>
        <w:t>Potential Funding</w:t>
      </w:r>
      <w:r w:rsidRPr="00016C6F">
        <w:rPr>
          <w:iCs/>
        </w:rPr>
        <w:t>:  Multiple sources, including:  the Division of Health Care Financing and Policy (DHCFP) and the ADSD, Medicaid, savings from moving out-of-state placements back in-State; Medic</w:t>
      </w:r>
      <w:r w:rsidR="00915F89">
        <w:rPr>
          <w:iCs/>
        </w:rPr>
        <w:t>are; and other potential grants (Civil Monetary Penalties Grant).</w:t>
      </w:r>
    </w:p>
    <w:p w:rsidR="00EA579E" w:rsidRPr="00B62337" w:rsidRDefault="00EA579E" w:rsidP="00EA579E">
      <w:pPr>
        <w:tabs>
          <w:tab w:val="left" w:pos="360"/>
          <w:tab w:val="left" w:pos="720"/>
          <w:tab w:val="left" w:pos="1080"/>
        </w:tabs>
        <w:jc w:val="both"/>
        <w:rPr>
          <w:b/>
          <w:iCs/>
        </w:rPr>
      </w:pPr>
    </w:p>
    <w:p w:rsidR="0082751F" w:rsidRPr="00B62337" w:rsidRDefault="000424EA" w:rsidP="00EA579E">
      <w:pPr>
        <w:tabs>
          <w:tab w:val="left" w:pos="360"/>
          <w:tab w:val="left" w:pos="720"/>
          <w:tab w:val="left" w:pos="1080"/>
        </w:tabs>
        <w:jc w:val="both"/>
        <w:rPr>
          <w:b/>
          <w:iCs/>
          <w:u w:val="single"/>
        </w:rPr>
      </w:pPr>
      <w:r w:rsidRPr="00B62337">
        <w:rPr>
          <w:u w:val="single"/>
        </w:rPr>
        <w:t>Training</w:t>
      </w:r>
      <w:r w:rsidR="000F7377" w:rsidRPr="00B62337">
        <w:rPr>
          <w:u w:val="single"/>
        </w:rPr>
        <w:t xml:space="preserve">, Education, and Professional Development </w:t>
      </w:r>
    </w:p>
    <w:p w:rsidR="0046361F" w:rsidRPr="00B62337" w:rsidRDefault="0046361F" w:rsidP="00AB074D">
      <w:pPr>
        <w:pStyle w:val="ListParagraph"/>
        <w:ind w:left="360"/>
        <w:jc w:val="both"/>
      </w:pPr>
    </w:p>
    <w:p w:rsidR="006D0F29" w:rsidRPr="00463E84" w:rsidRDefault="005E0C31" w:rsidP="00AB074D">
      <w:pPr>
        <w:pStyle w:val="Default"/>
        <w:jc w:val="both"/>
        <w:rPr>
          <w:rFonts w:ascii="CG Times" w:hAnsi="CG Times" w:cs="Times New Roman"/>
          <w:spacing w:val="3"/>
        </w:rPr>
      </w:pPr>
      <w:r w:rsidRPr="00463E84">
        <w:rPr>
          <w:rFonts w:ascii="CG Times" w:hAnsi="CG Times" w:cs="Times New Roman"/>
          <w:spacing w:val="3"/>
        </w:rPr>
        <w:lastRenderedPageBreak/>
        <w:t>The Task Force hear</w:t>
      </w:r>
      <w:r w:rsidR="0046361F" w:rsidRPr="00463E84">
        <w:rPr>
          <w:rFonts w:ascii="CG Times" w:hAnsi="CG Times" w:cs="Times New Roman"/>
          <w:spacing w:val="3"/>
        </w:rPr>
        <w:t>d t</w:t>
      </w:r>
      <w:r w:rsidR="000F7377" w:rsidRPr="00463E84">
        <w:rPr>
          <w:rFonts w:ascii="CG Times" w:hAnsi="CG Times" w:cs="Times New Roman"/>
          <w:spacing w:val="3"/>
        </w:rPr>
        <w:t xml:space="preserve">estimony regarding the </w:t>
      </w:r>
      <w:r w:rsidR="003B12A4" w:rsidRPr="00463E84">
        <w:rPr>
          <w:rFonts w:ascii="CG Times" w:hAnsi="CG Times" w:cs="Times New Roman"/>
          <w:spacing w:val="3"/>
        </w:rPr>
        <w:t>need to</w:t>
      </w:r>
      <w:r w:rsidR="000F7377" w:rsidRPr="00463E84">
        <w:rPr>
          <w:rFonts w:ascii="CG Times" w:hAnsi="CG Times" w:cs="Times New Roman"/>
          <w:spacing w:val="3"/>
        </w:rPr>
        <w:t xml:space="preserve"> strengthen</w:t>
      </w:r>
      <w:r w:rsidRPr="00463E84">
        <w:rPr>
          <w:rFonts w:ascii="CG Times" w:hAnsi="CG Times" w:cs="Times New Roman"/>
          <w:spacing w:val="3"/>
        </w:rPr>
        <w:t xml:space="preserve"> the multidiscip</w:t>
      </w:r>
      <w:r w:rsidR="0046361F" w:rsidRPr="00463E84">
        <w:rPr>
          <w:rFonts w:ascii="CG Times" w:hAnsi="CG Times" w:cs="Times New Roman"/>
          <w:spacing w:val="3"/>
        </w:rPr>
        <w:t xml:space="preserve">linary </w:t>
      </w:r>
      <w:r w:rsidRPr="00463E84">
        <w:rPr>
          <w:rFonts w:ascii="CG Times" w:hAnsi="CG Times" w:cs="Times New Roman"/>
          <w:spacing w:val="3"/>
        </w:rPr>
        <w:t>workforce that cares for</w:t>
      </w:r>
      <w:r w:rsidR="00CA0AF9" w:rsidRPr="00463E84">
        <w:rPr>
          <w:rFonts w:ascii="CG Times" w:hAnsi="CG Times" w:cs="Times New Roman"/>
          <w:spacing w:val="3"/>
        </w:rPr>
        <w:t xml:space="preserve"> aging adults in general</w:t>
      </w:r>
      <w:r w:rsidR="00F56956">
        <w:rPr>
          <w:rFonts w:ascii="CG Times" w:hAnsi="CG Times" w:cs="Times New Roman"/>
          <w:spacing w:val="3"/>
        </w:rPr>
        <w:t>, as well as</w:t>
      </w:r>
      <w:r w:rsidRPr="00463E84">
        <w:rPr>
          <w:rFonts w:ascii="CG Times" w:hAnsi="CG Times" w:cs="Times New Roman"/>
          <w:spacing w:val="3"/>
        </w:rPr>
        <w:t xml:space="preserve"> </w:t>
      </w:r>
      <w:r w:rsidR="000F7377" w:rsidRPr="00463E84">
        <w:rPr>
          <w:rFonts w:ascii="CG Times" w:hAnsi="CG Times" w:cs="Times New Roman"/>
          <w:spacing w:val="3"/>
        </w:rPr>
        <w:t>individuals</w:t>
      </w:r>
      <w:r w:rsidR="00CA0AF9" w:rsidRPr="00463E84">
        <w:rPr>
          <w:rFonts w:ascii="CG Times" w:hAnsi="CG Times" w:cs="Times New Roman"/>
          <w:spacing w:val="3"/>
        </w:rPr>
        <w:t xml:space="preserve"> with Alzheimer’s </w:t>
      </w:r>
      <w:r w:rsidR="002E464D">
        <w:rPr>
          <w:rFonts w:ascii="CG Times" w:hAnsi="CG Times" w:cs="Times New Roman"/>
          <w:spacing w:val="3"/>
        </w:rPr>
        <w:t>d</w:t>
      </w:r>
      <w:r w:rsidR="00531448">
        <w:rPr>
          <w:rFonts w:ascii="CG Times" w:hAnsi="CG Times" w:cs="Times New Roman"/>
          <w:spacing w:val="3"/>
        </w:rPr>
        <w:t xml:space="preserve">isease </w:t>
      </w:r>
      <w:r w:rsidR="00CA0AF9" w:rsidRPr="00463E84">
        <w:rPr>
          <w:rFonts w:ascii="CG Times" w:hAnsi="CG Times" w:cs="Times New Roman"/>
          <w:spacing w:val="3"/>
        </w:rPr>
        <w:t xml:space="preserve">and </w:t>
      </w:r>
      <w:r w:rsidR="00DF1C30">
        <w:rPr>
          <w:rFonts w:ascii="CG Times" w:hAnsi="CG Times" w:cs="Times New Roman"/>
          <w:spacing w:val="3"/>
        </w:rPr>
        <w:t>related disorders</w:t>
      </w:r>
      <w:r w:rsidR="00F56956">
        <w:rPr>
          <w:rFonts w:ascii="CG Times" w:hAnsi="CG Times" w:cs="Times New Roman"/>
          <w:spacing w:val="3"/>
        </w:rPr>
        <w:t>,</w:t>
      </w:r>
      <w:r w:rsidR="002E464D">
        <w:rPr>
          <w:rFonts w:ascii="CG Times" w:hAnsi="CG Times" w:cs="Times New Roman"/>
          <w:spacing w:val="3"/>
        </w:rPr>
        <w:t xml:space="preserve"> </w:t>
      </w:r>
      <w:r w:rsidRPr="00463E84">
        <w:rPr>
          <w:rFonts w:ascii="CG Times" w:hAnsi="CG Times" w:cs="Times New Roman"/>
          <w:spacing w:val="3"/>
        </w:rPr>
        <w:t xml:space="preserve">throughout the continuum of care.  </w:t>
      </w:r>
      <w:r w:rsidR="003B12A4" w:rsidRPr="00463E84">
        <w:rPr>
          <w:rFonts w:ascii="CG Times" w:hAnsi="CG Times" w:cs="Times New Roman"/>
          <w:spacing w:val="3"/>
        </w:rPr>
        <w:t xml:space="preserve">The challenges of </w:t>
      </w:r>
      <w:r w:rsidR="003B12A4" w:rsidRPr="004133DF">
        <w:rPr>
          <w:rFonts w:ascii="CG Times" w:hAnsi="CG Times" w:cs="Times New Roman"/>
        </w:rPr>
        <w:t xml:space="preserve">maintaining a </w:t>
      </w:r>
      <w:r w:rsidR="002E464D">
        <w:rPr>
          <w:rFonts w:ascii="CG Times" w:hAnsi="CG Times" w:cs="Times New Roman"/>
        </w:rPr>
        <w:t>dementia</w:t>
      </w:r>
      <w:r w:rsidR="00531448" w:rsidRPr="004133DF">
        <w:rPr>
          <w:rFonts w:ascii="CG Times" w:hAnsi="CG Times" w:cs="Times New Roman"/>
        </w:rPr>
        <w:t>-</w:t>
      </w:r>
      <w:r w:rsidR="003B12A4" w:rsidRPr="004133DF">
        <w:rPr>
          <w:rFonts w:ascii="CG Times" w:hAnsi="CG Times" w:cs="Times New Roman"/>
        </w:rPr>
        <w:t>competent workforce in Nevada are magnified by an overarching trend</w:t>
      </w:r>
      <w:r w:rsidR="00531448" w:rsidRPr="004133DF">
        <w:rPr>
          <w:rFonts w:ascii="CG Times" w:hAnsi="CG Times" w:cs="Times New Roman"/>
        </w:rPr>
        <w:t>—</w:t>
      </w:r>
      <w:r w:rsidR="003B12A4" w:rsidRPr="004133DF">
        <w:rPr>
          <w:rFonts w:ascii="CG Times" w:hAnsi="CG Times" w:cs="Times New Roman"/>
        </w:rPr>
        <w:t xml:space="preserve">a health care workforce shortage.  </w:t>
      </w:r>
      <w:r w:rsidR="000F7377" w:rsidRPr="004133DF">
        <w:rPr>
          <w:rFonts w:ascii="CG Times" w:hAnsi="CG Times" w:cs="Times New Roman"/>
        </w:rPr>
        <w:t xml:space="preserve">The </w:t>
      </w:r>
      <w:r w:rsidR="003B12A4" w:rsidRPr="004133DF">
        <w:rPr>
          <w:rFonts w:ascii="CG Times" w:hAnsi="CG Times" w:cs="Times New Roman"/>
        </w:rPr>
        <w:t>shortages in Nevada reflect</w:t>
      </w:r>
      <w:r w:rsidR="000F7377" w:rsidRPr="004133DF">
        <w:rPr>
          <w:rFonts w:ascii="CG Times" w:hAnsi="CG Times" w:cs="Times New Roman"/>
        </w:rPr>
        <w:t xml:space="preserve"> a</w:t>
      </w:r>
      <w:r w:rsidR="004133DF">
        <w:rPr>
          <w:rFonts w:ascii="CG Times" w:hAnsi="CG Times" w:cs="Times New Roman"/>
        </w:rPr>
        <w:t> </w:t>
      </w:r>
      <w:r w:rsidR="000F7377" w:rsidRPr="004133DF">
        <w:rPr>
          <w:rFonts w:ascii="CG Times" w:hAnsi="CG Times" w:cs="Times New Roman"/>
        </w:rPr>
        <w:t>national phenomenon</w:t>
      </w:r>
      <w:r w:rsidR="00F56956">
        <w:rPr>
          <w:rFonts w:ascii="CG Times" w:hAnsi="CG Times" w:cs="Times New Roman"/>
        </w:rPr>
        <w:t>,</w:t>
      </w:r>
      <w:r w:rsidR="000F7377" w:rsidRPr="004133DF">
        <w:rPr>
          <w:rFonts w:ascii="CG Times" w:hAnsi="CG Times" w:cs="Times New Roman"/>
        </w:rPr>
        <w:t xml:space="preserve"> and </w:t>
      </w:r>
      <w:r w:rsidR="00531448" w:rsidRPr="004133DF">
        <w:rPr>
          <w:rFonts w:ascii="CG Times" w:hAnsi="CG Times" w:cs="Times New Roman"/>
        </w:rPr>
        <w:t>this greatly concerns</w:t>
      </w:r>
      <w:r w:rsidR="000F7377" w:rsidRPr="004133DF">
        <w:rPr>
          <w:rFonts w:ascii="CG Times" w:hAnsi="CG Times" w:cs="Times New Roman"/>
        </w:rPr>
        <w:t xml:space="preserve"> many because it compromises access to quality patient care.</w:t>
      </w:r>
      <w:r w:rsidR="00F32344" w:rsidRPr="004133DF">
        <w:rPr>
          <w:rFonts w:ascii="CG Times" w:hAnsi="CG Times" w:cs="Times New Roman"/>
        </w:rPr>
        <w:t xml:space="preserve">  For the past several </w:t>
      </w:r>
      <w:r w:rsidR="003B12A4" w:rsidRPr="004133DF">
        <w:rPr>
          <w:rFonts w:ascii="CG Times" w:hAnsi="CG Times" w:cs="Times New Roman"/>
        </w:rPr>
        <w:t>years,</w:t>
      </w:r>
      <w:r w:rsidR="00F32344" w:rsidRPr="004133DF">
        <w:rPr>
          <w:rFonts w:ascii="CG Times" w:hAnsi="CG Times" w:cs="Times New Roman"/>
        </w:rPr>
        <w:t xml:space="preserve"> Nevada has worked through the educational</w:t>
      </w:r>
      <w:r w:rsidR="003031B0">
        <w:rPr>
          <w:rFonts w:ascii="CG Times" w:hAnsi="CG Times" w:cs="Times New Roman"/>
          <w:spacing w:val="3"/>
        </w:rPr>
        <w:t xml:space="preserve"> system and the </w:t>
      </w:r>
      <w:r w:rsidR="00F32344" w:rsidRPr="00463E84">
        <w:rPr>
          <w:rFonts w:ascii="CG Times" w:hAnsi="CG Times" w:cs="Times New Roman"/>
          <w:spacing w:val="3"/>
        </w:rPr>
        <w:t xml:space="preserve">professional licensing process to address this </w:t>
      </w:r>
      <w:r w:rsidR="00531448">
        <w:rPr>
          <w:rFonts w:ascii="CG Times" w:hAnsi="CG Times" w:cs="Times New Roman"/>
          <w:spacing w:val="3"/>
        </w:rPr>
        <w:t>challenge</w:t>
      </w:r>
      <w:r w:rsidR="00F32344" w:rsidRPr="00463E84">
        <w:rPr>
          <w:rFonts w:ascii="CG Times" w:hAnsi="CG Times" w:cs="Times New Roman"/>
          <w:spacing w:val="3"/>
        </w:rPr>
        <w:t>.</w:t>
      </w:r>
      <w:r w:rsidR="006D0F29" w:rsidRPr="00463E84">
        <w:rPr>
          <w:rFonts w:ascii="CG Times" w:hAnsi="CG Times" w:cs="Times New Roman"/>
          <w:spacing w:val="3"/>
        </w:rPr>
        <w:t xml:space="preserve">  </w:t>
      </w:r>
      <w:r w:rsidR="003F1FD3" w:rsidRPr="00463E84">
        <w:rPr>
          <w:rFonts w:ascii="CG Times" w:hAnsi="CG Times" w:cs="Times New Roman"/>
          <w:spacing w:val="3"/>
        </w:rPr>
        <w:t>However, a</w:t>
      </w:r>
      <w:r w:rsidR="006A401C" w:rsidRPr="00463E84">
        <w:rPr>
          <w:rFonts w:ascii="CG Times" w:hAnsi="CG Times" w:cs="Times New Roman"/>
          <w:spacing w:val="3"/>
        </w:rPr>
        <w:t xml:space="preserve">s Nevada </w:t>
      </w:r>
      <w:r w:rsidR="00680AC3" w:rsidRPr="00463E84">
        <w:rPr>
          <w:rFonts w:ascii="CG Times" w:hAnsi="CG Times" w:cs="Times New Roman"/>
          <w:spacing w:val="3"/>
        </w:rPr>
        <w:t>addresses</w:t>
      </w:r>
      <w:r w:rsidR="006A401C" w:rsidRPr="00463E84">
        <w:rPr>
          <w:rFonts w:ascii="CG Times" w:hAnsi="CG Times" w:cs="Times New Roman"/>
          <w:spacing w:val="3"/>
        </w:rPr>
        <w:t xml:space="preserve"> the workforce s</w:t>
      </w:r>
      <w:r w:rsidR="003F1FD3" w:rsidRPr="00463E84">
        <w:rPr>
          <w:rFonts w:ascii="CG Times" w:hAnsi="CG Times" w:cs="Times New Roman"/>
          <w:spacing w:val="3"/>
        </w:rPr>
        <w:t>hortage</w:t>
      </w:r>
      <w:r w:rsidR="00680AC3" w:rsidRPr="00463E84">
        <w:rPr>
          <w:rFonts w:ascii="CG Times" w:hAnsi="CG Times" w:cs="Times New Roman"/>
          <w:spacing w:val="3"/>
        </w:rPr>
        <w:t>,</w:t>
      </w:r>
      <w:r w:rsidR="006A401C" w:rsidRPr="00463E84">
        <w:rPr>
          <w:rFonts w:ascii="CG Times" w:hAnsi="CG Times" w:cs="Times New Roman"/>
          <w:spacing w:val="3"/>
        </w:rPr>
        <w:t xml:space="preserve"> the State also has the </w:t>
      </w:r>
      <w:r w:rsidR="003F1FD3" w:rsidRPr="00463E84">
        <w:rPr>
          <w:rFonts w:ascii="CG Times" w:hAnsi="CG Times" w:cs="Times New Roman"/>
          <w:spacing w:val="3"/>
        </w:rPr>
        <w:t>responsibility for</w:t>
      </w:r>
      <w:r w:rsidR="006A401C" w:rsidRPr="00463E84">
        <w:rPr>
          <w:rFonts w:ascii="CG Times" w:hAnsi="CG Times" w:cs="Times New Roman"/>
          <w:spacing w:val="3"/>
        </w:rPr>
        <w:t xml:space="preserve"> maintaining</w:t>
      </w:r>
      <w:r w:rsidR="003F43FD" w:rsidRPr="00463E84">
        <w:rPr>
          <w:rFonts w:ascii="CG Times" w:hAnsi="CG Times" w:cs="Times New Roman"/>
          <w:spacing w:val="3"/>
        </w:rPr>
        <w:t xml:space="preserve"> and continuing to </w:t>
      </w:r>
      <w:r w:rsidR="003B12A4" w:rsidRPr="00463E84">
        <w:rPr>
          <w:rFonts w:ascii="CG Times" w:hAnsi="CG Times" w:cs="Times New Roman"/>
          <w:spacing w:val="3"/>
        </w:rPr>
        <w:t>develop quality</w:t>
      </w:r>
      <w:r w:rsidR="006A401C" w:rsidRPr="00463E84">
        <w:rPr>
          <w:rFonts w:ascii="CG Times" w:hAnsi="CG Times" w:cs="Times New Roman"/>
          <w:spacing w:val="3"/>
        </w:rPr>
        <w:t xml:space="preserve"> care.  </w:t>
      </w:r>
    </w:p>
    <w:p w:rsidR="006D0F29" w:rsidRPr="00B62337" w:rsidRDefault="006D0F29" w:rsidP="00AB074D">
      <w:pPr>
        <w:pStyle w:val="Default"/>
        <w:jc w:val="both"/>
        <w:rPr>
          <w:rFonts w:ascii="CG Times" w:hAnsi="CG Times" w:cs="Times New Roman"/>
        </w:rPr>
      </w:pPr>
    </w:p>
    <w:p w:rsidR="006D0F29" w:rsidRPr="00B62337" w:rsidRDefault="009435B2" w:rsidP="00AB074D">
      <w:pPr>
        <w:pStyle w:val="Default"/>
        <w:jc w:val="both"/>
        <w:rPr>
          <w:rFonts w:ascii="CG Times" w:hAnsi="CG Times" w:cs="Times New Roman"/>
        </w:rPr>
      </w:pPr>
      <w:r w:rsidRPr="00B62337">
        <w:rPr>
          <w:rFonts w:ascii="CG Times" w:hAnsi="CG Times" w:cs="Times New Roman"/>
        </w:rPr>
        <w:t xml:space="preserve">The National Plan </w:t>
      </w:r>
      <w:r w:rsidR="00F411BC" w:rsidRPr="00B62337">
        <w:rPr>
          <w:rFonts w:ascii="CG Times" w:eastAsia="Times New Roman" w:hAnsi="CG Times" w:cs="Times New Roman"/>
          <w:color w:val="auto"/>
        </w:rPr>
        <w:t xml:space="preserve">states the </w:t>
      </w:r>
      <w:r w:rsidRPr="00B62337">
        <w:rPr>
          <w:rFonts w:ascii="CG Times" w:eastAsia="Times New Roman" w:hAnsi="CG Times" w:cs="Times New Roman"/>
          <w:color w:val="auto"/>
        </w:rPr>
        <w:t xml:space="preserve">workforce that cares for people with Alzheimer’s </w:t>
      </w:r>
      <w:r w:rsidR="002E464D">
        <w:rPr>
          <w:rFonts w:ascii="CG Times" w:eastAsia="Times New Roman" w:hAnsi="CG Times" w:cs="Times New Roman"/>
          <w:color w:val="auto"/>
        </w:rPr>
        <w:t>d</w:t>
      </w:r>
      <w:r w:rsidRPr="00B62337">
        <w:rPr>
          <w:rFonts w:ascii="CG Times" w:eastAsia="Times New Roman" w:hAnsi="CG Times" w:cs="Times New Roman"/>
          <w:color w:val="auto"/>
        </w:rPr>
        <w:t>isease includes health care and long-term services and supports providers</w:t>
      </w:r>
      <w:r w:rsidR="00531448">
        <w:rPr>
          <w:rFonts w:ascii="CG Times" w:eastAsia="Times New Roman" w:hAnsi="CG Times" w:cs="Times New Roman"/>
          <w:color w:val="auto"/>
        </w:rPr>
        <w:t>,</w:t>
      </w:r>
      <w:r w:rsidRPr="00B62337">
        <w:rPr>
          <w:rFonts w:ascii="CG Times" w:eastAsia="Times New Roman" w:hAnsi="CG Times" w:cs="Times New Roman"/>
          <w:color w:val="auto"/>
        </w:rPr>
        <w:t xml:space="preserve"> such as</w:t>
      </w:r>
      <w:r w:rsidR="00531448">
        <w:rPr>
          <w:rFonts w:ascii="CG Times" w:eastAsia="Times New Roman" w:hAnsi="CG Times" w:cs="Times New Roman"/>
          <w:color w:val="auto"/>
        </w:rPr>
        <w:t xml:space="preserve">: </w:t>
      </w:r>
      <w:r w:rsidRPr="00B62337">
        <w:rPr>
          <w:rFonts w:ascii="CG Times" w:eastAsia="Times New Roman" w:hAnsi="CG Times" w:cs="Times New Roman"/>
          <w:color w:val="auto"/>
        </w:rPr>
        <w:t xml:space="preserve"> primary care physicians; specialists</w:t>
      </w:r>
      <w:r w:rsidR="006C7B6A">
        <w:rPr>
          <w:rFonts w:ascii="CG Times" w:eastAsia="Times New Roman" w:hAnsi="CG Times" w:cs="Times New Roman"/>
          <w:color w:val="auto"/>
        </w:rPr>
        <w:t>,</w:t>
      </w:r>
      <w:r w:rsidRPr="00B62337">
        <w:rPr>
          <w:rFonts w:ascii="CG Times" w:eastAsia="Times New Roman" w:hAnsi="CG Times" w:cs="Times New Roman"/>
          <w:color w:val="auto"/>
        </w:rPr>
        <w:t xml:space="preserve"> such as neurologists, geriatricians, and psychiatrists; registered nurses and advanced practice nurses; community health workers; social workers; psychologists; pharmacists; dentists; allied health professionals; and direct-care workers</w:t>
      </w:r>
      <w:r w:rsidR="006C7B6A">
        <w:rPr>
          <w:rFonts w:ascii="CG Times" w:eastAsia="Times New Roman" w:hAnsi="CG Times" w:cs="Times New Roman"/>
          <w:color w:val="auto"/>
        </w:rPr>
        <w:t>, such as</w:t>
      </w:r>
      <w:r w:rsidRPr="00B62337">
        <w:rPr>
          <w:rFonts w:ascii="CG Times" w:eastAsia="Times New Roman" w:hAnsi="CG Times" w:cs="Times New Roman"/>
          <w:color w:val="auto"/>
        </w:rPr>
        <w:t xml:space="preserve"> home health aides and certified nursing assistants, who provide care at home or in assisted living or nursing homes. These providers need accurate information about caring for someone with Alzheimer’s</w:t>
      </w:r>
      <w:r w:rsidR="006C7B6A">
        <w:rPr>
          <w:rFonts w:ascii="CG Times" w:eastAsia="Times New Roman" w:hAnsi="CG Times" w:cs="Times New Roman"/>
          <w:color w:val="auto"/>
        </w:rPr>
        <w:t> </w:t>
      </w:r>
      <w:r w:rsidR="002E464D">
        <w:rPr>
          <w:rFonts w:ascii="CG Times" w:eastAsia="Times New Roman" w:hAnsi="CG Times" w:cs="Times New Roman"/>
          <w:color w:val="auto"/>
        </w:rPr>
        <w:t>d</w:t>
      </w:r>
      <w:r w:rsidRPr="00B62337">
        <w:rPr>
          <w:rFonts w:ascii="CG Times" w:eastAsia="Times New Roman" w:hAnsi="CG Times" w:cs="Times New Roman"/>
          <w:color w:val="auto"/>
        </w:rPr>
        <w:t>isease</w:t>
      </w:r>
      <w:r w:rsidR="006C7B6A">
        <w:rPr>
          <w:rFonts w:ascii="CG Times" w:eastAsia="Times New Roman" w:hAnsi="CG Times" w:cs="Times New Roman"/>
          <w:color w:val="auto"/>
        </w:rPr>
        <w:t>,</w:t>
      </w:r>
      <w:r w:rsidRPr="00B62337">
        <w:rPr>
          <w:rFonts w:ascii="CG Times" w:eastAsia="Times New Roman" w:hAnsi="CG Times" w:cs="Times New Roman"/>
          <w:color w:val="auto"/>
        </w:rPr>
        <w:t xml:space="preserve"> including</w:t>
      </w:r>
      <w:r w:rsidR="006C7B6A">
        <w:rPr>
          <w:rFonts w:ascii="CG Times" w:eastAsia="Times New Roman" w:hAnsi="CG Times" w:cs="Times New Roman"/>
          <w:color w:val="auto"/>
        </w:rPr>
        <w:t xml:space="preserve">: </w:t>
      </w:r>
      <w:r w:rsidRPr="00B62337">
        <w:rPr>
          <w:rFonts w:ascii="CG Times" w:eastAsia="Times New Roman" w:hAnsi="CG Times" w:cs="Times New Roman"/>
          <w:color w:val="auto"/>
        </w:rPr>
        <w:t xml:space="preserve"> the benefits of early diagnosis</w:t>
      </w:r>
      <w:r w:rsidR="00463E84">
        <w:rPr>
          <w:rFonts w:ascii="CG Times" w:eastAsia="Times New Roman" w:hAnsi="CG Times" w:cs="Times New Roman"/>
          <w:color w:val="auto"/>
        </w:rPr>
        <w:t>;</w:t>
      </w:r>
      <w:r w:rsidRPr="00B62337">
        <w:rPr>
          <w:rFonts w:ascii="CG Times" w:eastAsia="Times New Roman" w:hAnsi="CG Times" w:cs="Times New Roman"/>
          <w:color w:val="auto"/>
        </w:rPr>
        <w:t xml:space="preserve"> how to address the physical, cognitive, emotional, and behavioral symptoms of the disease</w:t>
      </w:r>
      <w:r w:rsidR="00463E84">
        <w:rPr>
          <w:rFonts w:ascii="CG Times" w:eastAsia="Times New Roman" w:hAnsi="CG Times" w:cs="Times New Roman"/>
          <w:color w:val="auto"/>
        </w:rPr>
        <w:t>;</w:t>
      </w:r>
      <w:r w:rsidRPr="00B62337">
        <w:rPr>
          <w:rFonts w:ascii="CG Times" w:eastAsia="Times New Roman" w:hAnsi="CG Times" w:cs="Times New Roman"/>
          <w:color w:val="auto"/>
        </w:rPr>
        <w:t xml:space="preserve"> and how to assist caregivers as they cope with the physical and emotional aspects of the</w:t>
      </w:r>
      <w:r w:rsidR="00F411BC" w:rsidRPr="00B62337">
        <w:rPr>
          <w:rFonts w:ascii="CG Times" w:eastAsia="Times New Roman" w:hAnsi="CG Times" w:cs="Times New Roman"/>
          <w:color w:val="auto"/>
        </w:rPr>
        <w:t>ir caregiving responsibilities</w:t>
      </w:r>
      <w:r w:rsidRPr="00B62337">
        <w:rPr>
          <w:rFonts w:ascii="CG Times" w:eastAsia="Times New Roman" w:hAnsi="CG Times" w:cs="Times New Roman"/>
          <w:color w:val="auto"/>
        </w:rPr>
        <w:t>.</w:t>
      </w:r>
      <w:r w:rsidR="00F411BC" w:rsidRPr="00B62337">
        <w:rPr>
          <w:rStyle w:val="EndnoteReference"/>
          <w:rFonts w:ascii="CG Times" w:eastAsia="Times New Roman" w:hAnsi="CG Times" w:cs="Times New Roman"/>
          <w:color w:val="auto"/>
        </w:rPr>
        <w:endnoteReference w:id="24"/>
      </w:r>
      <w:r w:rsidR="00F411BC" w:rsidRPr="00B62337">
        <w:rPr>
          <w:rFonts w:ascii="CG Times" w:hAnsi="CG Times" w:cs="Times New Roman"/>
        </w:rPr>
        <w:t xml:space="preserve"> </w:t>
      </w:r>
    </w:p>
    <w:p w:rsidR="006D0F29" w:rsidRPr="00B62337" w:rsidRDefault="006D0F29" w:rsidP="00AB074D">
      <w:pPr>
        <w:pStyle w:val="Default"/>
        <w:jc w:val="both"/>
        <w:rPr>
          <w:rFonts w:ascii="CG Times" w:hAnsi="CG Times" w:cs="Times New Roman"/>
        </w:rPr>
      </w:pPr>
    </w:p>
    <w:p w:rsidR="006A401C" w:rsidRPr="00B62337" w:rsidRDefault="006A401C" w:rsidP="00AB074D">
      <w:pPr>
        <w:pStyle w:val="Default"/>
        <w:jc w:val="both"/>
        <w:rPr>
          <w:rFonts w:ascii="CG Times" w:hAnsi="CG Times" w:cs="Times New Roman"/>
        </w:rPr>
      </w:pPr>
      <w:r w:rsidRPr="00B62337">
        <w:rPr>
          <w:rFonts w:ascii="CG Times" w:hAnsi="CG Times" w:cs="Times New Roman"/>
        </w:rPr>
        <w:t>The Task Force received presentations</w:t>
      </w:r>
      <w:r w:rsidR="005F255D" w:rsidRPr="00B62337">
        <w:rPr>
          <w:rFonts w:ascii="CG Times" w:hAnsi="CG Times" w:cs="Times New Roman"/>
        </w:rPr>
        <w:t xml:space="preserve"> and information</w:t>
      </w:r>
      <w:r w:rsidRPr="00B62337">
        <w:rPr>
          <w:rFonts w:ascii="CG Times" w:hAnsi="CG Times" w:cs="Times New Roman"/>
        </w:rPr>
        <w:t xml:space="preserve"> from </w:t>
      </w:r>
      <w:r w:rsidR="005F255D" w:rsidRPr="00B62337">
        <w:rPr>
          <w:rFonts w:ascii="CG Times" w:hAnsi="CG Times" w:cs="Times New Roman"/>
        </w:rPr>
        <w:t xml:space="preserve">various </w:t>
      </w:r>
      <w:r w:rsidR="000A72D5" w:rsidRPr="00B62337">
        <w:rPr>
          <w:rFonts w:ascii="CG Times" w:hAnsi="CG Times" w:cs="Times New Roman"/>
        </w:rPr>
        <w:t xml:space="preserve">educational </w:t>
      </w:r>
      <w:r w:rsidR="003B12A4" w:rsidRPr="00B62337">
        <w:rPr>
          <w:rFonts w:ascii="CG Times" w:hAnsi="CG Times" w:cs="Times New Roman"/>
        </w:rPr>
        <w:t>institutions, including</w:t>
      </w:r>
      <w:r w:rsidR="005F255D" w:rsidRPr="00B62337">
        <w:rPr>
          <w:rFonts w:ascii="CG Times" w:hAnsi="CG Times" w:cs="Times New Roman"/>
        </w:rPr>
        <w:t xml:space="preserve"> those within the NSHE and</w:t>
      </w:r>
      <w:r w:rsidRPr="00B62337">
        <w:rPr>
          <w:rFonts w:ascii="CG Times" w:hAnsi="CG Times" w:cs="Times New Roman"/>
        </w:rPr>
        <w:t xml:space="preserve"> </w:t>
      </w:r>
      <w:r w:rsidR="005F255D" w:rsidRPr="00B62337">
        <w:rPr>
          <w:rFonts w:ascii="CG Times" w:hAnsi="CG Times" w:cs="Times New Roman"/>
        </w:rPr>
        <w:t>Touro University</w:t>
      </w:r>
      <w:r w:rsidR="005C010D">
        <w:rPr>
          <w:rFonts w:ascii="CG Times" w:hAnsi="CG Times" w:cs="Times New Roman"/>
        </w:rPr>
        <w:t xml:space="preserve"> Nevada</w:t>
      </w:r>
      <w:r w:rsidR="005F255D" w:rsidRPr="00B62337">
        <w:rPr>
          <w:rFonts w:ascii="CG Times" w:hAnsi="CG Times" w:cs="Times New Roman"/>
        </w:rPr>
        <w:t xml:space="preserve">.  </w:t>
      </w:r>
      <w:r w:rsidR="003B12A4" w:rsidRPr="00B62337">
        <w:rPr>
          <w:rFonts w:ascii="CG Times" w:hAnsi="CG Times" w:cs="Times New Roman"/>
        </w:rPr>
        <w:t>Hosts of educational programs are</w:t>
      </w:r>
      <w:r w:rsidR="005F255D" w:rsidRPr="00B62337">
        <w:rPr>
          <w:rFonts w:ascii="CG Times" w:hAnsi="CG Times" w:cs="Times New Roman"/>
        </w:rPr>
        <w:t xml:space="preserve"> available </w:t>
      </w:r>
      <w:r w:rsidR="003F43FD" w:rsidRPr="00B62337">
        <w:rPr>
          <w:rFonts w:ascii="CG Times" w:hAnsi="CG Times" w:cs="Times New Roman"/>
        </w:rPr>
        <w:t xml:space="preserve">across the </w:t>
      </w:r>
      <w:r w:rsidR="00463E84">
        <w:rPr>
          <w:rFonts w:ascii="CG Times" w:hAnsi="CG Times" w:cs="Times New Roman"/>
        </w:rPr>
        <w:t>S</w:t>
      </w:r>
      <w:r w:rsidR="005F255D" w:rsidRPr="00B62337">
        <w:rPr>
          <w:rFonts w:ascii="CG Times" w:hAnsi="CG Times" w:cs="Times New Roman"/>
        </w:rPr>
        <w:t>tate to</w:t>
      </w:r>
      <w:r w:rsidR="003F43FD" w:rsidRPr="00B62337">
        <w:rPr>
          <w:rFonts w:ascii="CG Times" w:hAnsi="CG Times" w:cs="Times New Roman"/>
        </w:rPr>
        <w:t xml:space="preserve"> assist in</w:t>
      </w:r>
      <w:r w:rsidR="005F255D" w:rsidRPr="00B62337">
        <w:rPr>
          <w:rFonts w:ascii="CG Times" w:hAnsi="CG Times" w:cs="Times New Roman"/>
        </w:rPr>
        <w:t xml:space="preserve"> develop</w:t>
      </w:r>
      <w:r w:rsidR="003F43FD" w:rsidRPr="00B62337">
        <w:rPr>
          <w:rFonts w:ascii="CG Times" w:hAnsi="CG Times" w:cs="Times New Roman"/>
        </w:rPr>
        <w:t>ing and increasing</w:t>
      </w:r>
      <w:r w:rsidR="005F255D" w:rsidRPr="00B62337">
        <w:rPr>
          <w:rFonts w:ascii="CG Times" w:hAnsi="CG Times" w:cs="Times New Roman"/>
        </w:rPr>
        <w:t xml:space="preserve"> </w:t>
      </w:r>
      <w:r w:rsidR="006C7B6A">
        <w:rPr>
          <w:rFonts w:ascii="CG Times" w:hAnsi="CG Times" w:cs="Times New Roman"/>
        </w:rPr>
        <w:t xml:space="preserve">a proficient workforce to address </w:t>
      </w:r>
      <w:r w:rsidR="005F255D" w:rsidRPr="00B62337">
        <w:rPr>
          <w:rFonts w:ascii="CG Times" w:hAnsi="CG Times" w:cs="Times New Roman"/>
        </w:rPr>
        <w:t xml:space="preserve">Alzheimer’s </w:t>
      </w:r>
      <w:r w:rsidR="002E464D">
        <w:rPr>
          <w:rFonts w:ascii="CG Times" w:hAnsi="CG Times" w:cs="Times New Roman"/>
        </w:rPr>
        <w:t>d</w:t>
      </w:r>
      <w:r w:rsidR="006C7B6A">
        <w:rPr>
          <w:rFonts w:ascii="CG Times" w:hAnsi="CG Times" w:cs="Times New Roman"/>
        </w:rPr>
        <w:t xml:space="preserve">isease.  </w:t>
      </w:r>
      <w:r w:rsidR="000A72D5" w:rsidRPr="00B62337">
        <w:rPr>
          <w:rFonts w:ascii="CG Times" w:hAnsi="CG Times" w:cs="Times New Roman"/>
        </w:rPr>
        <w:t>However, educational challenges still exist, including:</w:t>
      </w:r>
    </w:p>
    <w:p w:rsidR="000A72D5" w:rsidRPr="00B62337" w:rsidRDefault="000A72D5" w:rsidP="00AB074D">
      <w:pPr>
        <w:pStyle w:val="Default"/>
        <w:jc w:val="both"/>
        <w:rPr>
          <w:rFonts w:ascii="CG Times" w:hAnsi="CG Times" w:cs="Times New Roman"/>
        </w:rPr>
      </w:pPr>
    </w:p>
    <w:p w:rsidR="000A72D5" w:rsidRDefault="000A72D5" w:rsidP="00D67BA3">
      <w:pPr>
        <w:pStyle w:val="Default"/>
        <w:numPr>
          <w:ilvl w:val="0"/>
          <w:numId w:val="1"/>
        </w:numPr>
        <w:jc w:val="both"/>
        <w:rPr>
          <w:rFonts w:ascii="CG Times" w:hAnsi="CG Times" w:cs="Times New Roman"/>
        </w:rPr>
      </w:pPr>
      <w:r w:rsidRPr="00B62337">
        <w:rPr>
          <w:rFonts w:ascii="CG Times" w:hAnsi="CG Times" w:cs="Times New Roman"/>
        </w:rPr>
        <w:t xml:space="preserve">A need to standardize and increase </w:t>
      </w:r>
      <w:r w:rsidR="00203D6D" w:rsidRPr="00B62337">
        <w:rPr>
          <w:rFonts w:ascii="CG Times" w:hAnsi="CG Times" w:cs="Times New Roman"/>
        </w:rPr>
        <w:t xml:space="preserve">the availability of </w:t>
      </w:r>
      <w:r w:rsidR="007121E9" w:rsidRPr="00B62337">
        <w:rPr>
          <w:rFonts w:ascii="CG Times" w:hAnsi="CG Times" w:cs="Times New Roman"/>
        </w:rPr>
        <w:t>Alzheimer</w:t>
      </w:r>
      <w:r w:rsidR="00463E84">
        <w:rPr>
          <w:rFonts w:ascii="CG Times" w:hAnsi="CG Times" w:cs="Times New Roman"/>
        </w:rPr>
        <w:t>’s</w:t>
      </w:r>
      <w:r w:rsidR="007121E9" w:rsidRPr="00B62337">
        <w:rPr>
          <w:rFonts w:ascii="CG Times" w:hAnsi="CG Times" w:cs="Times New Roman"/>
        </w:rPr>
        <w:t xml:space="preserve"> </w:t>
      </w:r>
      <w:r w:rsidR="0026300B">
        <w:rPr>
          <w:rFonts w:ascii="CG Times" w:hAnsi="CG Times" w:cs="Times New Roman"/>
        </w:rPr>
        <w:t>d</w:t>
      </w:r>
      <w:r w:rsidR="006C7B6A">
        <w:rPr>
          <w:rFonts w:ascii="CG Times" w:hAnsi="CG Times" w:cs="Times New Roman"/>
        </w:rPr>
        <w:t xml:space="preserve">isease </w:t>
      </w:r>
      <w:r w:rsidR="007121E9" w:rsidRPr="00B62337">
        <w:rPr>
          <w:rFonts w:ascii="CG Times" w:hAnsi="CG Times" w:cs="Times New Roman"/>
        </w:rPr>
        <w:t>and dementia care</w:t>
      </w:r>
      <w:r w:rsidRPr="00B62337">
        <w:rPr>
          <w:rFonts w:ascii="CG Times" w:hAnsi="CG Times" w:cs="Times New Roman"/>
        </w:rPr>
        <w:t xml:space="preserve"> training </w:t>
      </w:r>
      <w:r w:rsidR="00203D6D" w:rsidRPr="00B62337">
        <w:rPr>
          <w:rFonts w:ascii="CG Times" w:hAnsi="CG Times" w:cs="Times New Roman"/>
        </w:rPr>
        <w:t xml:space="preserve">for all direct care workers, including </w:t>
      </w:r>
      <w:r w:rsidR="004069D2" w:rsidRPr="00B62337">
        <w:rPr>
          <w:rFonts w:ascii="CG Times" w:hAnsi="CG Times" w:cs="Times New Roman"/>
        </w:rPr>
        <w:t xml:space="preserve">unlicensed </w:t>
      </w:r>
      <w:r w:rsidRPr="00B62337">
        <w:rPr>
          <w:rFonts w:ascii="CG Times" w:hAnsi="CG Times" w:cs="Times New Roman"/>
        </w:rPr>
        <w:t xml:space="preserve">health care </w:t>
      </w:r>
      <w:r w:rsidR="004069D2" w:rsidRPr="00B62337">
        <w:rPr>
          <w:rFonts w:ascii="CG Times" w:hAnsi="CG Times" w:cs="Times New Roman"/>
        </w:rPr>
        <w:t>workers in the long</w:t>
      </w:r>
      <w:r w:rsidR="00467264">
        <w:rPr>
          <w:rFonts w:ascii="CG Times" w:hAnsi="CG Times" w:cs="Times New Roman"/>
        </w:rPr>
        <w:t>-</w:t>
      </w:r>
      <w:r w:rsidR="004069D2" w:rsidRPr="00B62337">
        <w:rPr>
          <w:rFonts w:ascii="CG Times" w:hAnsi="CG Times" w:cs="Times New Roman"/>
        </w:rPr>
        <w:t>term care setting;</w:t>
      </w:r>
    </w:p>
    <w:p w:rsidR="00463E84" w:rsidRPr="00B62337" w:rsidRDefault="00463E84" w:rsidP="00463E84">
      <w:pPr>
        <w:pStyle w:val="Default"/>
        <w:ind w:left="360"/>
        <w:jc w:val="both"/>
        <w:rPr>
          <w:rFonts w:ascii="CG Times" w:hAnsi="CG Times" w:cs="Times New Roman"/>
        </w:rPr>
      </w:pPr>
    </w:p>
    <w:p w:rsidR="004069D2" w:rsidRDefault="00E8747C" w:rsidP="00D67BA3">
      <w:pPr>
        <w:pStyle w:val="Default"/>
        <w:numPr>
          <w:ilvl w:val="0"/>
          <w:numId w:val="1"/>
        </w:numPr>
        <w:jc w:val="both"/>
        <w:rPr>
          <w:rFonts w:ascii="CG Times" w:hAnsi="CG Times" w:cs="Times New Roman"/>
        </w:rPr>
      </w:pPr>
      <w:r w:rsidRPr="00B62337">
        <w:rPr>
          <w:rFonts w:ascii="CG Times" w:hAnsi="CG Times" w:cs="Times New Roman"/>
        </w:rPr>
        <w:t>I</w:t>
      </w:r>
      <w:r w:rsidR="004069D2" w:rsidRPr="00B62337">
        <w:rPr>
          <w:rFonts w:ascii="CG Times" w:hAnsi="CG Times" w:cs="Times New Roman"/>
        </w:rPr>
        <w:t>ncrease</w:t>
      </w:r>
      <w:r w:rsidR="007121E9" w:rsidRPr="00B62337">
        <w:rPr>
          <w:rFonts w:ascii="CG Times" w:hAnsi="CG Times" w:cs="Times New Roman"/>
        </w:rPr>
        <w:t>d</w:t>
      </w:r>
      <w:r w:rsidR="004069D2" w:rsidRPr="00B62337">
        <w:rPr>
          <w:rFonts w:ascii="CG Times" w:hAnsi="CG Times" w:cs="Times New Roman"/>
        </w:rPr>
        <w:t xml:space="preserve"> exposure to </w:t>
      </w:r>
      <w:r w:rsidRPr="00B62337">
        <w:rPr>
          <w:rFonts w:ascii="CG Times" w:hAnsi="CG Times" w:cs="Times New Roman"/>
        </w:rPr>
        <w:t>geriatrics and Alzheimer</w:t>
      </w:r>
      <w:r w:rsidR="00467264">
        <w:rPr>
          <w:rFonts w:ascii="CG Times" w:hAnsi="CG Times" w:cs="Times New Roman"/>
        </w:rPr>
        <w:t>’s</w:t>
      </w:r>
      <w:r w:rsidRPr="00B62337">
        <w:rPr>
          <w:rFonts w:ascii="CG Times" w:hAnsi="CG Times" w:cs="Times New Roman"/>
        </w:rPr>
        <w:t xml:space="preserve"> </w:t>
      </w:r>
      <w:r w:rsidR="0026300B">
        <w:rPr>
          <w:rFonts w:ascii="CG Times" w:hAnsi="CG Times" w:cs="Times New Roman"/>
        </w:rPr>
        <w:t>d</w:t>
      </w:r>
      <w:r w:rsidR="000D7DF4">
        <w:rPr>
          <w:rFonts w:ascii="CG Times" w:hAnsi="CG Times" w:cs="Times New Roman"/>
        </w:rPr>
        <w:t xml:space="preserve">isease </w:t>
      </w:r>
      <w:r w:rsidRPr="00B62337">
        <w:rPr>
          <w:rFonts w:ascii="CG Times" w:hAnsi="CG Times" w:cs="Times New Roman"/>
        </w:rPr>
        <w:t>and dementia care in a broad spectrum of educational training programs for health care providers</w:t>
      </w:r>
      <w:r w:rsidR="000D7DF4">
        <w:rPr>
          <w:rFonts w:ascii="CG Times" w:hAnsi="CG Times" w:cs="Times New Roman"/>
        </w:rPr>
        <w:t>,</w:t>
      </w:r>
      <w:r w:rsidRPr="00B62337">
        <w:rPr>
          <w:rFonts w:ascii="CG Times" w:hAnsi="CG Times" w:cs="Times New Roman"/>
        </w:rPr>
        <w:t xml:space="preserve"> such as physicians, nurses, </w:t>
      </w:r>
      <w:r w:rsidR="007121E9" w:rsidRPr="00B62337">
        <w:rPr>
          <w:rFonts w:ascii="CG Times" w:hAnsi="CG Times" w:cs="Times New Roman"/>
        </w:rPr>
        <w:t>psychiatrists</w:t>
      </w:r>
      <w:r w:rsidRPr="00B62337">
        <w:rPr>
          <w:rFonts w:ascii="CG Times" w:hAnsi="CG Times" w:cs="Times New Roman"/>
        </w:rPr>
        <w:t xml:space="preserve">, social workers, and </w:t>
      </w:r>
      <w:r w:rsidR="007121E9" w:rsidRPr="00B62337">
        <w:rPr>
          <w:rFonts w:ascii="CG Times" w:hAnsi="CG Times" w:cs="Times New Roman"/>
        </w:rPr>
        <w:t>other allied health professionals;</w:t>
      </w:r>
    </w:p>
    <w:p w:rsidR="00463E84" w:rsidRPr="00B62337" w:rsidRDefault="00463E84" w:rsidP="00463E84">
      <w:pPr>
        <w:pStyle w:val="Default"/>
        <w:ind w:left="360"/>
        <w:jc w:val="both"/>
        <w:rPr>
          <w:rFonts w:ascii="CG Times" w:hAnsi="CG Times" w:cs="Times New Roman"/>
        </w:rPr>
      </w:pPr>
    </w:p>
    <w:p w:rsidR="00261F97" w:rsidRDefault="007121E9" w:rsidP="00D67BA3">
      <w:pPr>
        <w:pStyle w:val="Default"/>
        <w:numPr>
          <w:ilvl w:val="0"/>
          <w:numId w:val="1"/>
        </w:numPr>
        <w:jc w:val="both"/>
        <w:rPr>
          <w:rFonts w:ascii="CG Times" w:hAnsi="CG Times" w:cs="Times New Roman"/>
        </w:rPr>
      </w:pPr>
      <w:r w:rsidRPr="00B62337">
        <w:rPr>
          <w:rFonts w:ascii="CG Times" w:hAnsi="CG Times" w:cs="Times New Roman"/>
        </w:rPr>
        <w:t>Increasing enrollment in geriatric</w:t>
      </w:r>
      <w:r w:rsidR="000D7DF4">
        <w:rPr>
          <w:rFonts w:ascii="CG Times" w:hAnsi="CG Times" w:cs="Times New Roman"/>
        </w:rPr>
        <w:t>-</w:t>
      </w:r>
      <w:r w:rsidRPr="00B62337">
        <w:rPr>
          <w:rFonts w:ascii="CG Times" w:hAnsi="CG Times" w:cs="Times New Roman"/>
        </w:rPr>
        <w:t>related specialties</w:t>
      </w:r>
      <w:r w:rsidR="00261F97" w:rsidRPr="00B62337">
        <w:rPr>
          <w:rFonts w:ascii="CG Times" w:hAnsi="CG Times" w:cs="Times New Roman"/>
        </w:rPr>
        <w:t>;</w:t>
      </w:r>
    </w:p>
    <w:p w:rsidR="00463E84" w:rsidRPr="00B62337" w:rsidRDefault="00463E84" w:rsidP="00463E84">
      <w:pPr>
        <w:pStyle w:val="Default"/>
        <w:ind w:left="360"/>
        <w:jc w:val="both"/>
        <w:rPr>
          <w:rFonts w:ascii="CG Times" w:hAnsi="CG Times" w:cs="Times New Roman"/>
        </w:rPr>
      </w:pPr>
    </w:p>
    <w:p w:rsidR="007121E9" w:rsidRDefault="00920635" w:rsidP="00D67BA3">
      <w:pPr>
        <w:pStyle w:val="Default"/>
        <w:numPr>
          <w:ilvl w:val="0"/>
          <w:numId w:val="1"/>
        </w:numPr>
        <w:jc w:val="both"/>
        <w:rPr>
          <w:rFonts w:ascii="CG Times" w:hAnsi="CG Times" w:cs="Times New Roman"/>
        </w:rPr>
      </w:pPr>
      <w:r w:rsidRPr="00B62337">
        <w:rPr>
          <w:rFonts w:ascii="CG Times" w:hAnsi="CG Times" w:cs="Times New Roman"/>
        </w:rPr>
        <w:t>Greater consideration of</w:t>
      </w:r>
      <w:r w:rsidR="000D7DF4">
        <w:rPr>
          <w:rFonts w:ascii="CG Times" w:hAnsi="CG Times" w:cs="Times New Roman"/>
        </w:rPr>
        <w:t>,</w:t>
      </w:r>
      <w:r w:rsidRPr="00B62337">
        <w:rPr>
          <w:rFonts w:ascii="CG Times" w:hAnsi="CG Times" w:cs="Times New Roman"/>
        </w:rPr>
        <w:t xml:space="preserve"> and sensitivity to</w:t>
      </w:r>
      <w:r w:rsidR="000D7DF4">
        <w:rPr>
          <w:rFonts w:ascii="CG Times" w:hAnsi="CG Times" w:cs="Times New Roman"/>
        </w:rPr>
        <w:t>,</w:t>
      </w:r>
      <w:r w:rsidRPr="00B62337">
        <w:rPr>
          <w:rFonts w:ascii="CG Times" w:hAnsi="CG Times" w:cs="Times New Roman"/>
        </w:rPr>
        <w:t xml:space="preserve"> cultural issues</w:t>
      </w:r>
      <w:r w:rsidR="007C7144" w:rsidRPr="00B62337">
        <w:rPr>
          <w:rFonts w:ascii="CG Times" w:hAnsi="CG Times" w:cs="Times New Roman"/>
        </w:rPr>
        <w:t>; and</w:t>
      </w:r>
    </w:p>
    <w:p w:rsidR="00463E84" w:rsidRPr="00B62337" w:rsidRDefault="00463E84" w:rsidP="00463E84">
      <w:pPr>
        <w:pStyle w:val="Default"/>
        <w:ind w:left="360"/>
        <w:jc w:val="both"/>
        <w:rPr>
          <w:rFonts w:ascii="CG Times" w:hAnsi="CG Times" w:cs="Times New Roman"/>
        </w:rPr>
      </w:pPr>
    </w:p>
    <w:p w:rsidR="007C7144" w:rsidRPr="00B62337" w:rsidRDefault="007C7144" w:rsidP="00D67BA3">
      <w:pPr>
        <w:pStyle w:val="Default"/>
        <w:numPr>
          <w:ilvl w:val="0"/>
          <w:numId w:val="1"/>
        </w:numPr>
        <w:jc w:val="both"/>
        <w:rPr>
          <w:rFonts w:ascii="CG Times" w:hAnsi="CG Times" w:cs="Times New Roman"/>
        </w:rPr>
      </w:pPr>
      <w:r w:rsidRPr="00B62337">
        <w:rPr>
          <w:rFonts w:ascii="CG Times" w:hAnsi="CG Times" w:cs="Times New Roman"/>
        </w:rPr>
        <w:t>Providing continuing education focused on Alzheimer</w:t>
      </w:r>
      <w:r w:rsidR="00467264">
        <w:rPr>
          <w:rFonts w:ascii="CG Times" w:hAnsi="CG Times" w:cs="Times New Roman"/>
        </w:rPr>
        <w:t>’s</w:t>
      </w:r>
      <w:r w:rsidRPr="00B62337">
        <w:rPr>
          <w:rFonts w:ascii="CG Times" w:hAnsi="CG Times" w:cs="Times New Roman"/>
        </w:rPr>
        <w:t xml:space="preserve"> </w:t>
      </w:r>
      <w:r w:rsidR="0026300B">
        <w:rPr>
          <w:rFonts w:ascii="CG Times" w:hAnsi="CG Times" w:cs="Times New Roman"/>
        </w:rPr>
        <w:t>d</w:t>
      </w:r>
      <w:r w:rsidR="000D7DF4">
        <w:rPr>
          <w:rFonts w:ascii="CG Times" w:hAnsi="CG Times" w:cs="Times New Roman"/>
        </w:rPr>
        <w:t xml:space="preserve">isease </w:t>
      </w:r>
      <w:r w:rsidRPr="00B62337">
        <w:rPr>
          <w:rFonts w:ascii="CG Times" w:hAnsi="CG Times" w:cs="Times New Roman"/>
        </w:rPr>
        <w:t>and dementia care for primary care physicians.</w:t>
      </w:r>
    </w:p>
    <w:p w:rsidR="0046361F" w:rsidRPr="00B62337" w:rsidRDefault="003F43FD" w:rsidP="00AB074D">
      <w:pPr>
        <w:pStyle w:val="Default"/>
        <w:tabs>
          <w:tab w:val="left" w:pos="3274"/>
        </w:tabs>
        <w:jc w:val="both"/>
        <w:rPr>
          <w:rFonts w:ascii="CG Times" w:hAnsi="CG Times" w:cs="Times New Roman"/>
        </w:rPr>
      </w:pPr>
      <w:r w:rsidRPr="00B62337">
        <w:rPr>
          <w:rFonts w:ascii="CG Times" w:hAnsi="CG Times" w:cs="Times New Roman"/>
        </w:rPr>
        <w:tab/>
      </w:r>
    </w:p>
    <w:p w:rsidR="00F42F89" w:rsidRPr="00F42F89" w:rsidRDefault="005303F9" w:rsidP="00A047C6">
      <w:pPr>
        <w:jc w:val="both"/>
        <w:rPr>
          <w:rFonts w:eastAsiaTheme="minorHAnsi"/>
        </w:rPr>
      </w:pPr>
      <w:r w:rsidRPr="00F42F89">
        <w:rPr>
          <w:b/>
        </w:rPr>
        <w:t>Recommendation</w:t>
      </w:r>
      <w:r w:rsidR="00956CD9">
        <w:rPr>
          <w:b/>
        </w:rPr>
        <w:t xml:space="preserve"> 11</w:t>
      </w:r>
      <w:r w:rsidR="003E274A" w:rsidRPr="00F42F89">
        <w:rPr>
          <w:b/>
        </w:rPr>
        <w:t>:</w:t>
      </w:r>
      <w:r w:rsidR="003E274A" w:rsidRPr="00467264">
        <w:t xml:space="preserve"> </w:t>
      </w:r>
      <w:r w:rsidR="00467264" w:rsidRPr="00467264">
        <w:t xml:space="preserve"> </w:t>
      </w:r>
      <w:commentRangeStart w:id="7"/>
      <w:r w:rsidR="00F42F89" w:rsidRPr="00F42F89">
        <w:rPr>
          <w:rFonts w:eastAsiaTheme="minorHAnsi"/>
        </w:rPr>
        <w:t>Encourage</w:t>
      </w:r>
      <w:commentRangeEnd w:id="7"/>
      <w:r w:rsidR="0061158B">
        <w:rPr>
          <w:rStyle w:val="CommentReference"/>
        </w:rPr>
        <w:commentReference w:id="7"/>
      </w:r>
      <w:r w:rsidR="00F42F89" w:rsidRPr="00F42F89">
        <w:rPr>
          <w:rFonts w:eastAsiaTheme="minorHAnsi"/>
        </w:rPr>
        <w:t xml:space="preserve"> the Board of Medical Examiners, the </w:t>
      </w:r>
      <w:r w:rsidR="00F42F89" w:rsidRPr="00F42F89">
        <w:rPr>
          <w:rStyle w:val="Strong"/>
          <w:rFonts w:eastAsiaTheme="majorEastAsia"/>
          <w:b w:val="0"/>
        </w:rPr>
        <w:t xml:space="preserve">State Board of Osteopathic Medicine, professional associations, and educational institutions </w:t>
      </w:r>
      <w:r w:rsidR="00F42F89" w:rsidRPr="00F42F89">
        <w:rPr>
          <w:rFonts w:eastAsiaTheme="minorHAnsi"/>
        </w:rPr>
        <w:t xml:space="preserve">to promote awareness and education to </w:t>
      </w:r>
      <w:r w:rsidR="00A815B9">
        <w:rPr>
          <w:rFonts w:eastAsiaTheme="minorHAnsi"/>
        </w:rPr>
        <w:t>health care</w:t>
      </w:r>
      <w:r w:rsidR="00F42F89" w:rsidRPr="00F42F89">
        <w:rPr>
          <w:rFonts w:eastAsiaTheme="minorHAnsi"/>
        </w:rPr>
        <w:t xml:space="preserve"> providers by:</w:t>
      </w:r>
    </w:p>
    <w:p w:rsidR="00F42F89" w:rsidRPr="00B62337" w:rsidRDefault="00F42F89" w:rsidP="00F42F89">
      <w:pPr>
        <w:pStyle w:val="ListParagraph"/>
        <w:ind w:left="360"/>
        <w:jc w:val="both"/>
        <w:rPr>
          <w:u w:val="single"/>
        </w:rPr>
      </w:pPr>
    </w:p>
    <w:p w:rsidR="00F42F89" w:rsidRPr="005E4A63" w:rsidRDefault="00F42F89" w:rsidP="00F42F89">
      <w:pPr>
        <w:pStyle w:val="ListParagraph"/>
        <w:numPr>
          <w:ilvl w:val="1"/>
          <w:numId w:val="17"/>
        </w:numPr>
        <w:jc w:val="both"/>
        <w:rPr>
          <w:rFonts w:eastAsiaTheme="minorHAnsi"/>
        </w:rPr>
      </w:pPr>
      <w:r w:rsidRPr="00F87176">
        <w:rPr>
          <w:rFonts w:eastAsiaTheme="minorHAnsi"/>
        </w:rPr>
        <w:lastRenderedPageBreak/>
        <w:t>Approv</w:t>
      </w:r>
      <w:r>
        <w:rPr>
          <w:rFonts w:eastAsiaTheme="minorHAnsi"/>
        </w:rPr>
        <w:t>ing</w:t>
      </w:r>
      <w:r w:rsidRPr="00F87176">
        <w:rPr>
          <w:rFonts w:eastAsiaTheme="minorHAnsi"/>
        </w:rPr>
        <w:t xml:space="preserve"> continuing medical education (CME) training programs that provide primary care physicians </w:t>
      </w:r>
      <w:r>
        <w:rPr>
          <w:rFonts w:eastAsiaTheme="minorHAnsi"/>
        </w:rPr>
        <w:t xml:space="preserve">and other allied </w:t>
      </w:r>
      <w:r w:rsidR="00A815B9">
        <w:rPr>
          <w:rFonts w:eastAsiaTheme="minorHAnsi"/>
        </w:rPr>
        <w:t>health care</w:t>
      </w:r>
      <w:r>
        <w:rPr>
          <w:rFonts w:eastAsiaTheme="minorHAnsi"/>
        </w:rPr>
        <w:t xml:space="preserve"> professionals </w:t>
      </w:r>
      <w:r w:rsidRPr="002E18D0">
        <w:rPr>
          <w:rFonts w:eastAsiaTheme="minorHAnsi"/>
        </w:rPr>
        <w:t xml:space="preserve">with ongoing education about recent developments, research, and treatments of Alzheimer’s </w:t>
      </w:r>
      <w:r>
        <w:rPr>
          <w:rFonts w:eastAsiaTheme="minorHAnsi"/>
        </w:rPr>
        <w:t>d</w:t>
      </w:r>
      <w:r w:rsidRPr="002E18D0">
        <w:rPr>
          <w:rFonts w:eastAsiaTheme="minorHAnsi"/>
        </w:rPr>
        <w:t xml:space="preserve">isease and </w:t>
      </w:r>
      <w:r w:rsidR="00DF1C30">
        <w:rPr>
          <w:rFonts w:eastAsiaTheme="minorHAnsi"/>
        </w:rPr>
        <w:t>related disorders</w:t>
      </w:r>
      <w:r w:rsidRPr="002E18D0">
        <w:rPr>
          <w:rFonts w:eastAsiaTheme="minorHAnsi"/>
        </w:rPr>
        <w:t xml:space="preserve">. </w:t>
      </w:r>
    </w:p>
    <w:p w:rsidR="00F42F89" w:rsidRPr="005E4A63" w:rsidRDefault="00F42F89" w:rsidP="00F42F89">
      <w:pPr>
        <w:ind w:left="1080"/>
        <w:jc w:val="both"/>
        <w:rPr>
          <w:rFonts w:eastAsiaTheme="minorHAnsi"/>
        </w:rPr>
      </w:pPr>
    </w:p>
    <w:p w:rsidR="00F42F89" w:rsidRPr="005E4A63" w:rsidRDefault="00F42F89" w:rsidP="00F42F89">
      <w:pPr>
        <w:pStyle w:val="ListParagraph"/>
        <w:numPr>
          <w:ilvl w:val="1"/>
          <w:numId w:val="17"/>
        </w:numPr>
        <w:jc w:val="both"/>
        <w:rPr>
          <w:rFonts w:eastAsiaTheme="minorHAnsi"/>
        </w:rPr>
      </w:pPr>
      <w:r w:rsidRPr="00F87176">
        <w:rPr>
          <w:rFonts w:eastAsiaTheme="minorHAnsi"/>
        </w:rPr>
        <w:t>Encourag</w:t>
      </w:r>
      <w:r>
        <w:rPr>
          <w:rFonts w:eastAsiaTheme="minorHAnsi"/>
        </w:rPr>
        <w:t>ing</w:t>
      </w:r>
      <w:r w:rsidRPr="00F87176">
        <w:rPr>
          <w:rFonts w:eastAsiaTheme="minorHAnsi"/>
        </w:rPr>
        <w:t xml:space="preserve"> primary care physicians to refer </w:t>
      </w:r>
      <w:r>
        <w:rPr>
          <w:rFonts w:eastAsiaTheme="minorHAnsi"/>
        </w:rPr>
        <w:t>persons with cognitive deficits</w:t>
      </w:r>
      <w:r w:rsidRPr="00F87176">
        <w:rPr>
          <w:rFonts w:eastAsiaTheme="minorHAnsi"/>
        </w:rPr>
        <w:t xml:space="preserve"> for specialized cognitive testing when appropriate.   </w:t>
      </w:r>
    </w:p>
    <w:p w:rsidR="00F42F89" w:rsidRPr="005E4A63" w:rsidRDefault="00F42F89" w:rsidP="00F42F89">
      <w:pPr>
        <w:ind w:left="1080"/>
        <w:jc w:val="both"/>
        <w:rPr>
          <w:rFonts w:eastAsiaTheme="minorHAnsi"/>
        </w:rPr>
      </w:pPr>
    </w:p>
    <w:p w:rsidR="00F42F89" w:rsidRPr="005E4A63" w:rsidRDefault="00F42F89" w:rsidP="00F42F89">
      <w:pPr>
        <w:pStyle w:val="ListParagraph"/>
        <w:numPr>
          <w:ilvl w:val="1"/>
          <w:numId w:val="17"/>
        </w:numPr>
        <w:jc w:val="both"/>
        <w:rPr>
          <w:rFonts w:eastAsiaTheme="minorHAnsi"/>
        </w:rPr>
      </w:pPr>
      <w:r w:rsidRPr="00F87176">
        <w:rPr>
          <w:rFonts w:eastAsiaTheme="minorHAnsi"/>
        </w:rPr>
        <w:t>Encourag</w:t>
      </w:r>
      <w:r>
        <w:rPr>
          <w:rFonts w:eastAsiaTheme="minorHAnsi"/>
        </w:rPr>
        <w:t>ing</w:t>
      </w:r>
      <w:r w:rsidRPr="00F87176">
        <w:rPr>
          <w:rFonts w:eastAsiaTheme="minorHAnsi"/>
        </w:rPr>
        <w:t xml:space="preserve"> primary</w:t>
      </w:r>
      <w:r w:rsidRPr="005E4A63">
        <w:rPr>
          <w:rFonts w:eastAsiaTheme="minorHAnsi"/>
        </w:rPr>
        <w:t xml:space="preserve"> </w:t>
      </w:r>
      <w:r w:rsidRPr="00F87176">
        <w:rPr>
          <w:rFonts w:eastAsiaTheme="minorHAnsi"/>
        </w:rPr>
        <w:t xml:space="preserve">care physicians to refer </w:t>
      </w:r>
      <w:r>
        <w:rPr>
          <w:rFonts w:eastAsiaTheme="minorHAnsi"/>
        </w:rPr>
        <w:t xml:space="preserve">persons with dementia and their </w:t>
      </w:r>
      <w:r w:rsidRPr="00F87176">
        <w:rPr>
          <w:rFonts w:eastAsiaTheme="minorHAnsi"/>
        </w:rPr>
        <w:t xml:space="preserve">families to </w:t>
      </w:r>
      <w:r>
        <w:rPr>
          <w:rFonts w:eastAsiaTheme="minorHAnsi"/>
        </w:rPr>
        <w:t>dementia-related community resources and supportive programs</w:t>
      </w:r>
      <w:r w:rsidRPr="00F87176">
        <w:rPr>
          <w:rFonts w:eastAsiaTheme="minorHAnsi"/>
        </w:rPr>
        <w:t xml:space="preserve">.  </w:t>
      </w:r>
    </w:p>
    <w:p w:rsidR="003E274A" w:rsidRPr="00B62337" w:rsidRDefault="003E274A" w:rsidP="00F42F89">
      <w:pPr>
        <w:pStyle w:val="ListParagraph"/>
        <w:ind w:left="0"/>
        <w:jc w:val="both"/>
        <w:rPr>
          <w:rFonts w:eastAsiaTheme="minorHAnsi"/>
          <w:noProof/>
        </w:rPr>
      </w:pPr>
    </w:p>
    <w:p w:rsidR="00847B3E" w:rsidRPr="00B62337" w:rsidRDefault="00847B3E" w:rsidP="003E274A">
      <w:pPr>
        <w:contextualSpacing/>
        <w:jc w:val="both"/>
        <w:rPr>
          <w:rFonts w:eastAsiaTheme="minorHAnsi"/>
          <w:noProof/>
        </w:rPr>
      </w:pPr>
      <w:r w:rsidRPr="00B62337">
        <w:rPr>
          <w:rFonts w:eastAsiaTheme="minorHAnsi"/>
          <w:b/>
          <w:noProof/>
        </w:rPr>
        <w:t>Indicators:</w:t>
      </w:r>
      <w:r w:rsidR="00E76D1C">
        <w:rPr>
          <w:rFonts w:eastAsiaTheme="minorHAnsi"/>
          <w:b/>
          <w:noProof/>
        </w:rPr>
        <w:t xml:space="preserve"> </w:t>
      </w:r>
      <w:r w:rsidR="00B74BC3">
        <w:rPr>
          <w:rFonts w:eastAsiaTheme="minorHAnsi"/>
          <w:b/>
          <w:noProof/>
        </w:rPr>
        <w:t xml:space="preserve"> </w:t>
      </w:r>
      <w:r w:rsidR="00543373" w:rsidRPr="00B62337">
        <w:rPr>
          <w:rFonts w:eastAsiaTheme="minorHAnsi"/>
          <w:noProof/>
        </w:rPr>
        <w:t xml:space="preserve">Increased number of </w:t>
      </w:r>
      <w:r w:rsidR="00527CFD" w:rsidRPr="00B62337">
        <w:rPr>
          <w:rFonts w:eastAsiaTheme="minorHAnsi"/>
          <w:noProof/>
        </w:rPr>
        <w:t xml:space="preserve">primary care </w:t>
      </w:r>
      <w:r w:rsidR="00543373" w:rsidRPr="00B62337">
        <w:rPr>
          <w:rFonts w:eastAsiaTheme="minorHAnsi"/>
          <w:noProof/>
        </w:rPr>
        <w:t>physician refe</w:t>
      </w:r>
      <w:r w:rsidR="00E76D1C">
        <w:rPr>
          <w:rFonts w:eastAsiaTheme="minorHAnsi"/>
          <w:noProof/>
        </w:rPr>
        <w:t>r</w:t>
      </w:r>
      <w:r w:rsidR="00543373" w:rsidRPr="00B62337">
        <w:rPr>
          <w:rFonts w:eastAsiaTheme="minorHAnsi"/>
          <w:noProof/>
        </w:rPr>
        <w:t>rals for diagnos</w:t>
      </w:r>
      <w:r w:rsidR="000D7DF4">
        <w:rPr>
          <w:rFonts w:eastAsiaTheme="minorHAnsi"/>
          <w:noProof/>
        </w:rPr>
        <w:t>is</w:t>
      </w:r>
      <w:r w:rsidR="00543373" w:rsidRPr="00B62337">
        <w:rPr>
          <w:rFonts w:eastAsiaTheme="minorHAnsi"/>
          <w:noProof/>
        </w:rPr>
        <w:t xml:space="preserve"> and treatments</w:t>
      </w:r>
      <w:r w:rsidR="00B74BC3">
        <w:rPr>
          <w:rFonts w:eastAsiaTheme="minorHAnsi"/>
          <w:noProof/>
        </w:rPr>
        <w:t xml:space="preserve">. </w:t>
      </w:r>
      <w:r w:rsidR="00543373" w:rsidRPr="00B62337">
        <w:rPr>
          <w:rFonts w:eastAsiaTheme="minorHAnsi"/>
          <w:noProof/>
        </w:rPr>
        <w:t xml:space="preserve"> </w:t>
      </w:r>
      <w:r w:rsidR="00527CFD" w:rsidRPr="00B62337">
        <w:rPr>
          <w:rFonts w:eastAsiaTheme="minorHAnsi"/>
          <w:noProof/>
        </w:rPr>
        <w:t>Increased number of early refe</w:t>
      </w:r>
      <w:r w:rsidR="00E76D1C">
        <w:rPr>
          <w:rFonts w:eastAsiaTheme="minorHAnsi"/>
          <w:noProof/>
        </w:rPr>
        <w:t>r</w:t>
      </w:r>
      <w:r w:rsidR="00527CFD" w:rsidRPr="00B62337">
        <w:rPr>
          <w:rFonts w:eastAsiaTheme="minorHAnsi"/>
          <w:noProof/>
        </w:rPr>
        <w:t>rals</w:t>
      </w:r>
      <w:r w:rsidR="00B74BC3">
        <w:rPr>
          <w:rFonts w:eastAsiaTheme="minorHAnsi"/>
          <w:noProof/>
        </w:rPr>
        <w:t>.  I</w:t>
      </w:r>
      <w:r w:rsidR="00527CFD" w:rsidRPr="00B62337">
        <w:rPr>
          <w:rFonts w:eastAsiaTheme="minorHAnsi"/>
          <w:noProof/>
        </w:rPr>
        <w:t>ncreased number of quality</w:t>
      </w:r>
      <w:r w:rsidR="00543373" w:rsidRPr="00B62337">
        <w:rPr>
          <w:rFonts w:eastAsiaTheme="minorHAnsi"/>
          <w:noProof/>
        </w:rPr>
        <w:t xml:space="preserve"> CME training opportunities related to Alzheimer’s </w:t>
      </w:r>
      <w:r w:rsidR="00801C2D">
        <w:rPr>
          <w:rFonts w:eastAsiaTheme="minorHAnsi"/>
          <w:noProof/>
        </w:rPr>
        <w:t>d</w:t>
      </w:r>
      <w:r w:rsidR="000D7DF4">
        <w:rPr>
          <w:rFonts w:eastAsiaTheme="minorHAnsi"/>
          <w:noProof/>
        </w:rPr>
        <w:t xml:space="preserve">isease </w:t>
      </w:r>
      <w:r w:rsidR="00543373" w:rsidRPr="00B62337">
        <w:rPr>
          <w:rFonts w:eastAsiaTheme="minorHAnsi"/>
          <w:noProof/>
        </w:rPr>
        <w:t>diagnosis and treatment.</w:t>
      </w:r>
    </w:p>
    <w:p w:rsidR="003E274A" w:rsidRPr="00B62337" w:rsidRDefault="003E274A" w:rsidP="003E274A">
      <w:pPr>
        <w:contextualSpacing/>
        <w:jc w:val="both"/>
        <w:rPr>
          <w:rFonts w:eastAsiaTheme="minorHAnsi"/>
          <w:noProof/>
        </w:rPr>
      </w:pPr>
    </w:p>
    <w:p w:rsidR="003E274A" w:rsidRPr="00B62337" w:rsidRDefault="001C6174" w:rsidP="003E274A">
      <w:pPr>
        <w:contextualSpacing/>
        <w:jc w:val="both"/>
        <w:rPr>
          <w:rFonts w:eastAsiaTheme="minorHAnsi"/>
          <w:b/>
          <w:noProof/>
        </w:rPr>
      </w:pPr>
      <w:r w:rsidRPr="00B62337">
        <w:rPr>
          <w:rFonts w:eastAsiaTheme="minorHAnsi"/>
          <w:b/>
          <w:noProof/>
        </w:rPr>
        <w:t>Potential Funding</w:t>
      </w:r>
      <w:r w:rsidRPr="00B74BC3">
        <w:rPr>
          <w:rFonts w:eastAsiaTheme="minorHAnsi"/>
          <w:noProof/>
        </w:rPr>
        <w:t>:</w:t>
      </w:r>
      <w:r w:rsidR="00DC2091" w:rsidRPr="00B74BC3">
        <w:rPr>
          <w:rFonts w:eastAsiaTheme="minorHAnsi"/>
          <w:noProof/>
        </w:rPr>
        <w:t xml:space="preserve"> </w:t>
      </w:r>
      <w:r w:rsidR="00B74BC3" w:rsidRPr="00B74BC3">
        <w:rPr>
          <w:rFonts w:eastAsiaTheme="minorHAnsi"/>
          <w:noProof/>
        </w:rPr>
        <w:t xml:space="preserve"> </w:t>
      </w:r>
      <w:r w:rsidR="0025112B">
        <w:rPr>
          <w:rFonts w:eastAsiaTheme="minorHAnsi"/>
          <w:noProof/>
        </w:rPr>
        <w:t>Volunteers from the Task Force, Alzheimer’s Association, and other advocacy organizations; other potential grant funding sources.</w:t>
      </w:r>
    </w:p>
    <w:p w:rsidR="003E274A" w:rsidRPr="00B62337" w:rsidRDefault="003E274A" w:rsidP="003E274A">
      <w:pPr>
        <w:contextualSpacing/>
        <w:jc w:val="both"/>
        <w:rPr>
          <w:rFonts w:eastAsiaTheme="minorHAnsi"/>
          <w:b/>
          <w:noProof/>
        </w:rPr>
      </w:pPr>
    </w:p>
    <w:p w:rsidR="0025112B" w:rsidRPr="0025112B" w:rsidRDefault="003E274A" w:rsidP="00A047C6">
      <w:pPr>
        <w:jc w:val="both"/>
        <w:rPr>
          <w:rFonts w:eastAsia="Cambria"/>
        </w:rPr>
      </w:pPr>
      <w:r w:rsidRPr="0025112B">
        <w:rPr>
          <w:rFonts w:eastAsiaTheme="minorHAnsi"/>
          <w:b/>
          <w:noProof/>
        </w:rPr>
        <w:t>Recommendation</w:t>
      </w:r>
      <w:r w:rsidR="00956CD9">
        <w:rPr>
          <w:rFonts w:eastAsiaTheme="minorHAnsi"/>
          <w:b/>
          <w:noProof/>
        </w:rPr>
        <w:t xml:space="preserve"> 12</w:t>
      </w:r>
      <w:r w:rsidRPr="0025112B">
        <w:rPr>
          <w:rFonts w:eastAsiaTheme="minorHAnsi"/>
          <w:b/>
          <w:noProof/>
        </w:rPr>
        <w:t xml:space="preserve">: </w:t>
      </w:r>
      <w:r w:rsidR="00B74BC3" w:rsidRPr="0025112B">
        <w:rPr>
          <w:rFonts w:eastAsiaTheme="minorHAnsi"/>
          <w:b/>
          <w:noProof/>
        </w:rPr>
        <w:t xml:space="preserve"> </w:t>
      </w:r>
      <w:r w:rsidR="0025112B" w:rsidRPr="0025112B">
        <w:rPr>
          <w:rFonts w:eastAsiaTheme="minorHAnsi"/>
        </w:rPr>
        <w:t xml:space="preserve">Encourage schools in Nevada with programs in nursing and other </w:t>
      </w:r>
      <w:r w:rsidR="00A815B9">
        <w:rPr>
          <w:rFonts w:eastAsiaTheme="minorHAnsi"/>
        </w:rPr>
        <w:t>health care</w:t>
      </w:r>
      <w:r w:rsidR="0025112B" w:rsidRPr="0025112B">
        <w:rPr>
          <w:rFonts w:eastAsiaTheme="minorHAnsi"/>
        </w:rPr>
        <w:t xml:space="preserve"> professions to ensure that the programs include specific training regarding Alzheimer’s disease and </w:t>
      </w:r>
      <w:r w:rsidR="00DF1C30">
        <w:rPr>
          <w:rFonts w:eastAsiaTheme="minorHAnsi"/>
        </w:rPr>
        <w:t>related disorders</w:t>
      </w:r>
      <w:r w:rsidR="0025112B" w:rsidRPr="0025112B">
        <w:rPr>
          <w:rFonts w:eastAsiaTheme="minorHAnsi"/>
        </w:rPr>
        <w:t xml:space="preserve"> in their curriculum and expand related continuing education opportunities for nurses and other </w:t>
      </w:r>
      <w:r w:rsidR="00A815B9">
        <w:rPr>
          <w:rFonts w:eastAsiaTheme="minorHAnsi"/>
        </w:rPr>
        <w:t>health care</w:t>
      </w:r>
      <w:r w:rsidR="0025112B" w:rsidRPr="0025112B">
        <w:rPr>
          <w:rFonts w:eastAsiaTheme="minorHAnsi"/>
        </w:rPr>
        <w:t xml:space="preserve"> professionals in the acute care setting.</w:t>
      </w:r>
    </w:p>
    <w:p w:rsidR="003E274A" w:rsidRPr="00B62337" w:rsidRDefault="003E274A" w:rsidP="003E274A">
      <w:pPr>
        <w:contextualSpacing/>
        <w:jc w:val="both"/>
        <w:rPr>
          <w:rFonts w:eastAsiaTheme="minorHAnsi"/>
          <w:b/>
        </w:rPr>
      </w:pPr>
    </w:p>
    <w:p w:rsidR="003E274A" w:rsidRPr="00B62337" w:rsidRDefault="00B73CDB" w:rsidP="003E274A">
      <w:pPr>
        <w:contextualSpacing/>
        <w:jc w:val="both"/>
        <w:rPr>
          <w:rFonts w:eastAsiaTheme="minorHAnsi"/>
        </w:rPr>
      </w:pPr>
      <w:r w:rsidRPr="00B62337">
        <w:rPr>
          <w:rFonts w:eastAsiaTheme="minorHAnsi"/>
          <w:b/>
        </w:rPr>
        <w:t>Indicators:</w:t>
      </w:r>
      <w:r w:rsidR="00C07542" w:rsidRPr="00B62337">
        <w:rPr>
          <w:rFonts w:eastAsiaTheme="minorHAnsi"/>
        </w:rPr>
        <w:t xml:space="preserve"> </w:t>
      </w:r>
      <w:r w:rsidR="00B74BC3">
        <w:rPr>
          <w:rFonts w:eastAsiaTheme="minorHAnsi"/>
        </w:rPr>
        <w:t xml:space="preserve"> </w:t>
      </w:r>
      <w:r w:rsidR="000D7DF4">
        <w:rPr>
          <w:rFonts w:eastAsiaTheme="minorHAnsi"/>
        </w:rPr>
        <w:t>Classified n</w:t>
      </w:r>
      <w:r w:rsidR="00C07542" w:rsidRPr="00B62337">
        <w:rPr>
          <w:rFonts w:eastAsiaTheme="minorHAnsi"/>
        </w:rPr>
        <w:t xml:space="preserve">ursing </w:t>
      </w:r>
      <w:r w:rsidR="009E5341">
        <w:rPr>
          <w:rFonts w:eastAsiaTheme="minorHAnsi"/>
        </w:rPr>
        <w:t>programs</w:t>
      </w:r>
      <w:r w:rsidR="00A75636" w:rsidRPr="00B62337">
        <w:rPr>
          <w:rFonts w:eastAsiaTheme="minorHAnsi"/>
        </w:rPr>
        <w:t xml:space="preserve"> based on </w:t>
      </w:r>
      <w:r w:rsidR="00C07542" w:rsidRPr="00B62337">
        <w:rPr>
          <w:rFonts w:eastAsiaTheme="minorHAnsi"/>
        </w:rPr>
        <w:t>content</w:t>
      </w:r>
      <w:r w:rsidR="00A75636" w:rsidRPr="00B62337">
        <w:rPr>
          <w:rFonts w:eastAsiaTheme="minorHAnsi"/>
        </w:rPr>
        <w:t xml:space="preserve"> and best practices in education; increased number of quality </w:t>
      </w:r>
      <w:r w:rsidR="008B28CC">
        <w:rPr>
          <w:rFonts w:eastAsiaTheme="minorHAnsi"/>
        </w:rPr>
        <w:t>continuing education units</w:t>
      </w:r>
      <w:r w:rsidR="00A75636" w:rsidRPr="00B62337">
        <w:rPr>
          <w:rFonts w:eastAsiaTheme="minorHAnsi"/>
        </w:rPr>
        <w:t xml:space="preserve"> for nurses </w:t>
      </w:r>
      <w:r w:rsidR="003B12A4" w:rsidRPr="00B62337">
        <w:rPr>
          <w:rFonts w:eastAsiaTheme="minorHAnsi"/>
        </w:rPr>
        <w:t>related</w:t>
      </w:r>
      <w:r w:rsidR="00A75636" w:rsidRPr="00B62337">
        <w:rPr>
          <w:rFonts w:eastAsiaTheme="minorHAnsi"/>
        </w:rPr>
        <w:t xml:space="preserve"> to </w:t>
      </w:r>
      <w:r w:rsidR="00E8430E" w:rsidRPr="00B62337">
        <w:rPr>
          <w:rFonts w:eastAsiaTheme="minorHAnsi"/>
        </w:rPr>
        <w:t>Alzheimer’s</w:t>
      </w:r>
      <w:r w:rsidR="009E5341">
        <w:rPr>
          <w:rFonts w:eastAsiaTheme="minorHAnsi"/>
        </w:rPr>
        <w:t> </w:t>
      </w:r>
      <w:r w:rsidR="00801C2D">
        <w:rPr>
          <w:rFonts w:eastAsiaTheme="minorHAnsi"/>
        </w:rPr>
        <w:t>d</w:t>
      </w:r>
      <w:r w:rsidR="009E5341">
        <w:rPr>
          <w:rFonts w:eastAsiaTheme="minorHAnsi"/>
        </w:rPr>
        <w:t xml:space="preserve">isease </w:t>
      </w:r>
      <w:r w:rsidR="00E8430E" w:rsidRPr="00B62337">
        <w:rPr>
          <w:rFonts w:eastAsiaTheme="minorHAnsi"/>
        </w:rPr>
        <w:t>treatment and care.</w:t>
      </w:r>
    </w:p>
    <w:p w:rsidR="003E274A" w:rsidRPr="00B62337" w:rsidRDefault="003E274A" w:rsidP="003E274A">
      <w:pPr>
        <w:contextualSpacing/>
        <w:jc w:val="both"/>
        <w:rPr>
          <w:rFonts w:eastAsiaTheme="minorHAnsi"/>
          <w:b/>
        </w:rPr>
      </w:pPr>
    </w:p>
    <w:p w:rsidR="0039699C" w:rsidRPr="008B28CC" w:rsidRDefault="001C6174" w:rsidP="0039699C">
      <w:pPr>
        <w:contextualSpacing/>
        <w:jc w:val="both"/>
        <w:rPr>
          <w:rFonts w:eastAsiaTheme="minorHAnsi"/>
        </w:rPr>
      </w:pPr>
      <w:r w:rsidRPr="00B62337">
        <w:rPr>
          <w:rFonts w:eastAsiaTheme="minorHAnsi"/>
          <w:b/>
        </w:rPr>
        <w:t>Potential Funding:</w:t>
      </w:r>
      <w:r w:rsidR="00DC2091" w:rsidRPr="00B62337">
        <w:rPr>
          <w:rFonts w:eastAsiaTheme="minorHAnsi"/>
          <w:b/>
        </w:rPr>
        <w:t xml:space="preserve"> </w:t>
      </w:r>
      <w:r w:rsidR="008B28CC">
        <w:rPr>
          <w:rFonts w:eastAsiaTheme="minorHAnsi"/>
          <w:b/>
        </w:rPr>
        <w:t xml:space="preserve"> </w:t>
      </w:r>
      <w:r w:rsidR="00DC2091" w:rsidRPr="008B28CC">
        <w:rPr>
          <w:rFonts w:eastAsiaTheme="minorHAnsi"/>
        </w:rPr>
        <w:t>Alzheimer’s Association</w:t>
      </w:r>
      <w:r w:rsidR="00F56956">
        <w:rPr>
          <w:rFonts w:eastAsiaTheme="minorHAnsi"/>
        </w:rPr>
        <w:t>;</w:t>
      </w:r>
      <w:r w:rsidR="009939FF" w:rsidRPr="008B28CC">
        <w:rPr>
          <w:rFonts w:eastAsiaTheme="minorHAnsi"/>
        </w:rPr>
        <w:t xml:space="preserve"> </w:t>
      </w:r>
      <w:r w:rsidR="007A140C">
        <w:rPr>
          <w:rFonts w:eastAsiaTheme="minorHAnsi"/>
        </w:rPr>
        <w:t xml:space="preserve">State </w:t>
      </w:r>
      <w:r w:rsidR="009939FF" w:rsidRPr="008B28CC">
        <w:rPr>
          <w:rFonts w:eastAsiaTheme="minorHAnsi"/>
        </w:rPr>
        <w:t>Board of Nursing</w:t>
      </w:r>
      <w:r w:rsidR="007A140C">
        <w:rPr>
          <w:rFonts w:eastAsiaTheme="minorHAnsi"/>
        </w:rPr>
        <w:t>.</w:t>
      </w:r>
    </w:p>
    <w:p w:rsidR="0039699C" w:rsidRPr="008B28CC" w:rsidRDefault="0039699C" w:rsidP="0039699C">
      <w:pPr>
        <w:contextualSpacing/>
        <w:jc w:val="both"/>
        <w:rPr>
          <w:rFonts w:eastAsiaTheme="minorHAnsi"/>
        </w:rPr>
      </w:pPr>
    </w:p>
    <w:p w:rsidR="007F5083" w:rsidRPr="007F5083" w:rsidRDefault="0039699C" w:rsidP="00A047C6">
      <w:pPr>
        <w:jc w:val="both"/>
        <w:rPr>
          <w:rFonts w:eastAsiaTheme="minorHAnsi"/>
        </w:rPr>
      </w:pPr>
      <w:r w:rsidRPr="007F5083">
        <w:rPr>
          <w:rFonts w:eastAsiaTheme="minorHAnsi"/>
          <w:b/>
        </w:rPr>
        <w:t>Recommendation</w:t>
      </w:r>
      <w:r w:rsidR="00956CD9">
        <w:rPr>
          <w:rFonts w:eastAsiaTheme="minorHAnsi"/>
          <w:b/>
        </w:rPr>
        <w:t xml:space="preserve"> 13</w:t>
      </w:r>
      <w:r w:rsidRPr="007F5083">
        <w:rPr>
          <w:rFonts w:eastAsiaTheme="minorHAnsi"/>
          <w:b/>
        </w:rPr>
        <w:t xml:space="preserve">: </w:t>
      </w:r>
      <w:r w:rsidR="007A140C" w:rsidRPr="007F5083">
        <w:rPr>
          <w:rFonts w:eastAsiaTheme="minorHAnsi"/>
          <w:b/>
        </w:rPr>
        <w:t xml:space="preserve"> </w:t>
      </w:r>
      <w:r w:rsidR="007F5083" w:rsidRPr="007F5083">
        <w:rPr>
          <w:rFonts w:eastAsiaTheme="minorHAnsi"/>
        </w:rPr>
        <w:t xml:space="preserve">Encourage training and education about Alzheimer’s disease and </w:t>
      </w:r>
      <w:r w:rsidR="00DF1C30">
        <w:rPr>
          <w:rFonts w:eastAsiaTheme="minorHAnsi"/>
        </w:rPr>
        <w:t>related disorders</w:t>
      </w:r>
      <w:r w:rsidR="007F5083" w:rsidRPr="007F5083">
        <w:rPr>
          <w:rFonts w:eastAsiaTheme="minorHAnsi"/>
        </w:rPr>
        <w:t xml:space="preserve"> for all levels of medical personnel in a hospital, including emergency room personnel and others responsible for admission and discharge.  </w:t>
      </w:r>
    </w:p>
    <w:p w:rsidR="0039699C" w:rsidRPr="007A140C" w:rsidRDefault="0039699C" w:rsidP="0039699C">
      <w:pPr>
        <w:contextualSpacing/>
        <w:jc w:val="both"/>
        <w:rPr>
          <w:rFonts w:eastAsiaTheme="minorHAnsi"/>
          <w:b/>
        </w:rPr>
      </w:pPr>
    </w:p>
    <w:p w:rsidR="00847B3E" w:rsidRPr="007A140C" w:rsidRDefault="00847B3E" w:rsidP="0039699C">
      <w:pPr>
        <w:pStyle w:val="ListParagraph"/>
        <w:ind w:left="0"/>
        <w:jc w:val="both"/>
        <w:rPr>
          <w:rFonts w:eastAsiaTheme="minorHAnsi"/>
        </w:rPr>
      </w:pPr>
      <w:r w:rsidRPr="00B62337">
        <w:rPr>
          <w:rFonts w:eastAsiaTheme="minorHAnsi"/>
          <w:b/>
        </w:rPr>
        <w:t>Indicators:</w:t>
      </w:r>
      <w:r w:rsidR="007A6CC2" w:rsidRPr="00B62337">
        <w:rPr>
          <w:rFonts w:eastAsiaTheme="minorHAnsi"/>
          <w:b/>
        </w:rPr>
        <w:t xml:space="preserve"> </w:t>
      </w:r>
      <w:r w:rsidR="007A140C">
        <w:rPr>
          <w:rFonts w:eastAsiaTheme="minorHAnsi"/>
          <w:b/>
        </w:rPr>
        <w:t xml:space="preserve"> </w:t>
      </w:r>
      <w:r w:rsidR="009939FF" w:rsidRPr="007A140C">
        <w:rPr>
          <w:rFonts w:eastAsiaTheme="minorHAnsi"/>
        </w:rPr>
        <w:t>Change in regulations</w:t>
      </w:r>
      <w:r w:rsidR="007A140C">
        <w:rPr>
          <w:rFonts w:eastAsiaTheme="minorHAnsi"/>
        </w:rPr>
        <w:t xml:space="preserve">—Chapter 449 of the </w:t>
      </w:r>
      <w:r w:rsidR="009939FF" w:rsidRPr="007A140C">
        <w:rPr>
          <w:rFonts w:eastAsiaTheme="minorHAnsi"/>
          <w:i/>
        </w:rPr>
        <w:t>Nevada Administrative Code</w:t>
      </w:r>
      <w:r w:rsidR="007A140C">
        <w:rPr>
          <w:rFonts w:eastAsiaTheme="minorHAnsi"/>
        </w:rPr>
        <w:t>.</w:t>
      </w:r>
    </w:p>
    <w:p w:rsidR="0039699C" w:rsidRPr="007A140C" w:rsidRDefault="0039699C" w:rsidP="0039699C">
      <w:pPr>
        <w:pStyle w:val="ListParagraph"/>
        <w:ind w:left="0"/>
        <w:jc w:val="both"/>
        <w:rPr>
          <w:rFonts w:eastAsiaTheme="minorHAnsi"/>
        </w:rPr>
      </w:pPr>
    </w:p>
    <w:p w:rsidR="0039699C" w:rsidRPr="00B62337" w:rsidRDefault="001C6174" w:rsidP="0039699C">
      <w:pPr>
        <w:pStyle w:val="ListParagraph"/>
        <w:ind w:left="0"/>
        <w:jc w:val="both"/>
        <w:rPr>
          <w:rFonts w:eastAsiaTheme="minorHAnsi"/>
          <w:b/>
        </w:rPr>
      </w:pPr>
      <w:r w:rsidRPr="00B62337">
        <w:rPr>
          <w:rFonts w:eastAsiaTheme="minorHAnsi"/>
          <w:b/>
        </w:rPr>
        <w:t>Potential Funding:</w:t>
      </w:r>
      <w:r w:rsidR="009939FF" w:rsidRPr="00B62337">
        <w:rPr>
          <w:rFonts w:eastAsiaTheme="minorHAnsi"/>
          <w:b/>
        </w:rPr>
        <w:t xml:space="preserve"> </w:t>
      </w:r>
      <w:r w:rsidR="007A140C">
        <w:rPr>
          <w:rFonts w:eastAsiaTheme="minorHAnsi"/>
          <w:b/>
        </w:rPr>
        <w:t xml:space="preserve"> </w:t>
      </w:r>
      <w:r w:rsidR="007F5083">
        <w:rPr>
          <w:rFonts w:eastAsiaTheme="minorHAnsi"/>
        </w:rPr>
        <w:t>Nevada B</w:t>
      </w:r>
      <w:r w:rsidR="00A815B9">
        <w:rPr>
          <w:rFonts w:eastAsiaTheme="minorHAnsi"/>
        </w:rPr>
        <w:t>HC</w:t>
      </w:r>
      <w:r w:rsidR="007F5083">
        <w:rPr>
          <w:rFonts w:eastAsiaTheme="minorHAnsi"/>
        </w:rPr>
        <w:t>QC</w:t>
      </w:r>
      <w:r w:rsidR="00F56956">
        <w:rPr>
          <w:rFonts w:eastAsiaTheme="minorHAnsi"/>
        </w:rPr>
        <w:t>;</w:t>
      </w:r>
      <w:r w:rsidR="007F5083">
        <w:rPr>
          <w:rFonts w:eastAsiaTheme="minorHAnsi"/>
        </w:rPr>
        <w:t xml:space="preserve"> Nevada Hospital Association</w:t>
      </w:r>
      <w:r w:rsidR="001F7522">
        <w:rPr>
          <w:rFonts w:eastAsiaTheme="minorHAnsi"/>
        </w:rPr>
        <w:t>;</w:t>
      </w:r>
      <w:r w:rsidR="007F5083">
        <w:rPr>
          <w:rFonts w:eastAsiaTheme="minorHAnsi"/>
        </w:rPr>
        <w:t xml:space="preserve"> Alzheimer’s Association</w:t>
      </w:r>
      <w:r w:rsidR="001F7522">
        <w:rPr>
          <w:rFonts w:eastAsiaTheme="minorHAnsi"/>
        </w:rPr>
        <w:t>;</w:t>
      </w:r>
      <w:r w:rsidR="001C6A86">
        <w:rPr>
          <w:rFonts w:eastAsiaTheme="minorHAnsi"/>
        </w:rPr>
        <w:t xml:space="preserve"> </w:t>
      </w:r>
      <w:r w:rsidR="007F5083">
        <w:rPr>
          <w:rFonts w:eastAsiaTheme="minorHAnsi"/>
        </w:rPr>
        <w:t>other possible grant funding sources.</w:t>
      </w:r>
    </w:p>
    <w:p w:rsidR="0039699C" w:rsidRPr="00B62337" w:rsidRDefault="0039699C" w:rsidP="0039699C">
      <w:pPr>
        <w:pStyle w:val="ListParagraph"/>
        <w:ind w:left="0"/>
        <w:jc w:val="both"/>
        <w:rPr>
          <w:rFonts w:eastAsiaTheme="minorHAnsi"/>
          <w:b/>
        </w:rPr>
      </w:pPr>
    </w:p>
    <w:p w:rsidR="007F5083" w:rsidRDefault="0039699C" w:rsidP="007F5083">
      <w:pPr>
        <w:jc w:val="both"/>
        <w:rPr>
          <w:rFonts w:eastAsiaTheme="minorHAnsi"/>
        </w:rPr>
      </w:pPr>
      <w:r w:rsidRPr="007F5083">
        <w:rPr>
          <w:rFonts w:eastAsiaTheme="minorHAnsi"/>
          <w:b/>
        </w:rPr>
        <w:t>Recommendation</w:t>
      </w:r>
      <w:r w:rsidR="00956CD9">
        <w:rPr>
          <w:rFonts w:eastAsiaTheme="minorHAnsi"/>
          <w:b/>
        </w:rPr>
        <w:t xml:space="preserve"> 14</w:t>
      </w:r>
      <w:r w:rsidRPr="007F5083">
        <w:rPr>
          <w:rFonts w:eastAsiaTheme="minorHAnsi"/>
          <w:b/>
        </w:rPr>
        <w:t xml:space="preserve">: </w:t>
      </w:r>
      <w:r w:rsidR="007A140C" w:rsidRPr="007F5083">
        <w:rPr>
          <w:rFonts w:eastAsiaTheme="minorHAnsi"/>
          <w:b/>
        </w:rPr>
        <w:t xml:space="preserve"> </w:t>
      </w:r>
      <w:r w:rsidR="00316954" w:rsidRPr="00B62337">
        <w:rPr>
          <w:rFonts w:eastAsiaTheme="minorHAnsi"/>
        </w:rPr>
        <w:t xml:space="preserve">Encourage first responders, </w:t>
      </w:r>
      <w:r w:rsidR="00316954">
        <w:rPr>
          <w:rFonts w:eastAsiaTheme="minorHAnsi"/>
        </w:rPr>
        <w:t>law enforcement</w:t>
      </w:r>
      <w:r w:rsidR="00316954" w:rsidRPr="00B62337">
        <w:rPr>
          <w:rFonts w:eastAsiaTheme="minorHAnsi"/>
        </w:rPr>
        <w:t>, and fire department personnel to have a specified number of hours of training to help them assess and learn how to respond to</w:t>
      </w:r>
      <w:r w:rsidR="00316954">
        <w:rPr>
          <w:rFonts w:eastAsiaTheme="minorHAnsi"/>
        </w:rPr>
        <w:t xml:space="preserve"> </w:t>
      </w:r>
      <w:r w:rsidR="00316954" w:rsidRPr="00B62337">
        <w:rPr>
          <w:rFonts w:eastAsiaTheme="minorHAnsi"/>
        </w:rPr>
        <w:t xml:space="preserve">people with Alzheimer’s </w:t>
      </w:r>
      <w:r w:rsidR="00316954">
        <w:rPr>
          <w:rFonts w:eastAsiaTheme="minorHAnsi"/>
        </w:rPr>
        <w:t>d</w:t>
      </w:r>
      <w:r w:rsidR="00316954" w:rsidRPr="00B62337">
        <w:rPr>
          <w:rFonts w:eastAsiaTheme="minorHAnsi"/>
        </w:rPr>
        <w:t xml:space="preserve">isease and </w:t>
      </w:r>
      <w:r w:rsidR="00DF1C30">
        <w:rPr>
          <w:rFonts w:eastAsiaTheme="minorHAnsi"/>
        </w:rPr>
        <w:t>related disorders</w:t>
      </w:r>
      <w:r w:rsidR="00316954" w:rsidRPr="00B62337">
        <w:rPr>
          <w:rFonts w:eastAsiaTheme="minorHAnsi"/>
        </w:rPr>
        <w:t>.</w:t>
      </w:r>
      <w:r w:rsidR="007F5083" w:rsidRPr="007F5083">
        <w:rPr>
          <w:rFonts w:eastAsiaTheme="minorHAnsi"/>
        </w:rPr>
        <w:t xml:space="preserve"> </w:t>
      </w:r>
    </w:p>
    <w:p w:rsidR="007F5083" w:rsidRPr="007F5083" w:rsidRDefault="007F5083" w:rsidP="00A047C6">
      <w:pPr>
        <w:jc w:val="both"/>
        <w:rPr>
          <w:rFonts w:eastAsiaTheme="minorHAnsi"/>
        </w:rPr>
      </w:pPr>
      <w:r w:rsidRPr="007F5083">
        <w:rPr>
          <w:rFonts w:eastAsiaTheme="minorHAnsi"/>
        </w:rPr>
        <w:t xml:space="preserve"> </w:t>
      </w:r>
    </w:p>
    <w:p w:rsidR="00847B3E" w:rsidRPr="00B62337" w:rsidRDefault="00847B3E" w:rsidP="007F5083">
      <w:pPr>
        <w:pStyle w:val="ListParagraph"/>
        <w:ind w:left="0"/>
        <w:jc w:val="both"/>
        <w:rPr>
          <w:rFonts w:eastAsiaTheme="minorHAnsi"/>
          <w:b/>
        </w:rPr>
      </w:pPr>
      <w:r w:rsidRPr="00B62337">
        <w:rPr>
          <w:rFonts w:eastAsiaTheme="minorHAnsi"/>
          <w:b/>
        </w:rPr>
        <w:t>Indicators:</w:t>
      </w:r>
      <w:r w:rsidR="000D5A43" w:rsidRPr="00B62337">
        <w:rPr>
          <w:rFonts w:eastAsiaTheme="minorHAnsi"/>
          <w:b/>
        </w:rPr>
        <w:t xml:space="preserve"> </w:t>
      </w:r>
      <w:r w:rsidR="007A140C">
        <w:rPr>
          <w:rFonts w:eastAsiaTheme="minorHAnsi"/>
          <w:b/>
        </w:rPr>
        <w:t xml:space="preserve"> </w:t>
      </w:r>
      <w:r w:rsidR="005839D8" w:rsidRPr="00BB39FB">
        <w:rPr>
          <w:rFonts w:eastAsiaTheme="minorHAnsi"/>
          <w:spacing w:val="-6"/>
        </w:rPr>
        <w:t>Monitor policy changes through law enforcement, E</w:t>
      </w:r>
      <w:r w:rsidR="00BB39FB" w:rsidRPr="00BB39FB">
        <w:rPr>
          <w:rFonts w:eastAsiaTheme="minorHAnsi"/>
          <w:spacing w:val="-6"/>
        </w:rPr>
        <w:t>mergency Medical Technician</w:t>
      </w:r>
      <w:r w:rsidR="005839D8" w:rsidRPr="00BB39FB">
        <w:rPr>
          <w:rFonts w:eastAsiaTheme="minorHAnsi"/>
          <w:spacing w:val="-6"/>
        </w:rPr>
        <w:t>,</w:t>
      </w:r>
      <w:r w:rsidR="005839D8" w:rsidRPr="007A140C">
        <w:rPr>
          <w:rFonts w:eastAsiaTheme="minorHAnsi"/>
        </w:rPr>
        <w:t xml:space="preserve"> </w:t>
      </w:r>
      <w:r w:rsidR="007A140C">
        <w:rPr>
          <w:rFonts w:eastAsiaTheme="minorHAnsi"/>
        </w:rPr>
        <w:t xml:space="preserve">and </w:t>
      </w:r>
      <w:r w:rsidR="005839D8" w:rsidRPr="007A140C">
        <w:rPr>
          <w:rFonts w:eastAsiaTheme="minorHAnsi"/>
        </w:rPr>
        <w:t>fire department associations</w:t>
      </w:r>
      <w:r w:rsidR="007A140C">
        <w:rPr>
          <w:rFonts w:eastAsiaTheme="minorHAnsi"/>
        </w:rPr>
        <w:t>.</w:t>
      </w:r>
    </w:p>
    <w:p w:rsidR="0039699C" w:rsidRPr="00B62337" w:rsidRDefault="0039699C" w:rsidP="0039699C">
      <w:pPr>
        <w:jc w:val="both"/>
        <w:rPr>
          <w:rFonts w:eastAsiaTheme="minorHAnsi"/>
          <w:b/>
        </w:rPr>
      </w:pPr>
    </w:p>
    <w:p w:rsidR="0039699C" w:rsidRPr="007A140C" w:rsidRDefault="001C6174" w:rsidP="0039699C">
      <w:pPr>
        <w:jc w:val="both"/>
        <w:rPr>
          <w:rFonts w:eastAsiaTheme="minorHAnsi"/>
        </w:rPr>
      </w:pPr>
      <w:r w:rsidRPr="00B62337">
        <w:rPr>
          <w:rFonts w:eastAsiaTheme="minorHAnsi"/>
          <w:b/>
        </w:rPr>
        <w:t>Potential Funding:</w:t>
      </w:r>
      <w:r w:rsidR="007A140C">
        <w:rPr>
          <w:rFonts w:eastAsiaTheme="minorHAnsi"/>
          <w:b/>
        </w:rPr>
        <w:t xml:space="preserve"> </w:t>
      </w:r>
      <w:r w:rsidR="005839D8" w:rsidRPr="00B62337">
        <w:rPr>
          <w:rFonts w:eastAsiaTheme="minorHAnsi"/>
          <w:b/>
        </w:rPr>
        <w:t xml:space="preserve"> </w:t>
      </w:r>
      <w:r w:rsidR="005839D8" w:rsidRPr="007A140C">
        <w:rPr>
          <w:rFonts w:eastAsiaTheme="minorHAnsi"/>
        </w:rPr>
        <w:t>Continuing education programs</w:t>
      </w:r>
      <w:r w:rsidR="001F7522">
        <w:rPr>
          <w:rFonts w:eastAsiaTheme="minorHAnsi"/>
        </w:rPr>
        <w:t>;</w:t>
      </w:r>
      <w:r w:rsidR="007F5083">
        <w:rPr>
          <w:rFonts w:eastAsiaTheme="minorHAnsi"/>
        </w:rPr>
        <w:t xml:space="preserve"> other possible grant funding sources</w:t>
      </w:r>
      <w:r w:rsidR="007A140C">
        <w:rPr>
          <w:rFonts w:eastAsiaTheme="minorHAnsi"/>
        </w:rPr>
        <w:t>.</w:t>
      </w:r>
    </w:p>
    <w:p w:rsidR="0039699C" w:rsidRPr="007A140C" w:rsidRDefault="0039699C" w:rsidP="0039699C">
      <w:pPr>
        <w:jc w:val="both"/>
        <w:rPr>
          <w:rFonts w:eastAsiaTheme="minorHAnsi"/>
        </w:rPr>
      </w:pPr>
    </w:p>
    <w:p w:rsidR="00AB074D" w:rsidRPr="00B62337" w:rsidRDefault="001C6174" w:rsidP="00371EA4">
      <w:pPr>
        <w:autoSpaceDE w:val="0"/>
        <w:autoSpaceDN w:val="0"/>
        <w:adjustRightInd w:val="0"/>
        <w:jc w:val="both"/>
        <w:rPr>
          <w:b/>
        </w:rPr>
      </w:pPr>
      <w:r w:rsidRPr="00B62337">
        <w:rPr>
          <w:b/>
        </w:rPr>
        <w:t>C</w:t>
      </w:r>
      <w:r w:rsidR="00AB074D" w:rsidRPr="00B62337">
        <w:rPr>
          <w:b/>
        </w:rPr>
        <w:t xml:space="preserve">hapter 4: </w:t>
      </w:r>
      <w:r w:rsidR="00CB236B">
        <w:rPr>
          <w:b/>
        </w:rPr>
        <w:t xml:space="preserve"> </w:t>
      </w:r>
      <w:r w:rsidR="00AB074D" w:rsidRPr="00B62337">
        <w:rPr>
          <w:b/>
        </w:rPr>
        <w:t>Quality of Life</w:t>
      </w:r>
    </w:p>
    <w:p w:rsidR="00AB074D" w:rsidRPr="00B62337" w:rsidRDefault="00AB074D" w:rsidP="00AB074D">
      <w:pPr>
        <w:jc w:val="both"/>
        <w:rPr>
          <w:u w:val="single"/>
        </w:rPr>
      </w:pPr>
    </w:p>
    <w:p w:rsidR="00AB074D" w:rsidRPr="00B62337" w:rsidRDefault="00AB074D" w:rsidP="00AB074D">
      <w:pPr>
        <w:jc w:val="both"/>
        <w:rPr>
          <w:u w:val="single"/>
        </w:rPr>
      </w:pPr>
      <w:r w:rsidRPr="00B62337">
        <w:rPr>
          <w:u w:val="single"/>
        </w:rPr>
        <w:t xml:space="preserve">For the Persons </w:t>
      </w:r>
      <w:r w:rsidR="00371EA4">
        <w:rPr>
          <w:u w:val="single"/>
        </w:rPr>
        <w:t>W</w:t>
      </w:r>
      <w:r w:rsidRPr="00B62337">
        <w:rPr>
          <w:u w:val="single"/>
        </w:rPr>
        <w:t>ith Dementia</w:t>
      </w:r>
    </w:p>
    <w:p w:rsidR="00AB074D" w:rsidRPr="00B62337" w:rsidRDefault="00AB074D" w:rsidP="00AB074D">
      <w:pPr>
        <w:jc w:val="both"/>
        <w:rPr>
          <w:u w:val="single"/>
        </w:rPr>
      </w:pPr>
    </w:p>
    <w:p w:rsidR="00AB074D" w:rsidRPr="00B62337" w:rsidRDefault="00AB074D" w:rsidP="00AB074D">
      <w:pPr>
        <w:jc w:val="both"/>
      </w:pPr>
      <w:r w:rsidRPr="00B62337">
        <w:t>The profound changes brought on by cognitive disorders</w:t>
      </w:r>
      <w:r w:rsidR="009E5341">
        <w:t>,</w:t>
      </w:r>
      <w:r w:rsidRPr="00B62337">
        <w:t xml:space="preserve"> such as Alzheimer’s </w:t>
      </w:r>
      <w:r w:rsidR="0026300B">
        <w:t>d</w:t>
      </w:r>
      <w:r w:rsidRPr="00B62337">
        <w:t>isease</w:t>
      </w:r>
      <w:r w:rsidR="009E5341">
        <w:t>,</w:t>
      </w:r>
      <w:r w:rsidRPr="00B62337">
        <w:t xml:space="preserve"> often lead to frustration, sadness, anger, and worry.</w:t>
      </w:r>
      <w:r w:rsidR="00482FCA" w:rsidRPr="00B62337">
        <w:rPr>
          <w:rStyle w:val="EndnoteReference"/>
        </w:rPr>
        <w:endnoteReference w:id="25"/>
      </w:r>
      <w:r w:rsidR="00853CEB">
        <w:t> </w:t>
      </w:r>
      <w:r w:rsidR="00657DD3">
        <w:t> </w:t>
      </w:r>
      <w:r w:rsidRPr="00B62337">
        <w:t>Individuals with dementia gradually lose the ability to complete activities of daily living and also have a limited ability to seek or access pleasant events</w:t>
      </w:r>
      <w:r w:rsidR="009E5341">
        <w:t xml:space="preserve"> and experiences</w:t>
      </w:r>
      <w:r w:rsidRPr="00B62337">
        <w:t xml:space="preserve">.  The prevalence of depression </w:t>
      </w:r>
      <w:r w:rsidR="000E79E0">
        <w:t>and anxiety in dementia is very </w:t>
      </w:r>
      <w:r w:rsidRPr="00B62337">
        <w:t>high.  Clinically significant depression has been found in 20</w:t>
      </w:r>
      <w:r w:rsidR="00371EA4">
        <w:t xml:space="preserve"> </w:t>
      </w:r>
      <w:r w:rsidRPr="00B62337">
        <w:t>to 30 percent of individuals with dementia living in the community, which is significantly higher than the estimated 2 percent prevalence of depression in individuals over the age of 65.</w:t>
      </w:r>
      <w:r w:rsidR="00482FCA" w:rsidRPr="00B62337">
        <w:rPr>
          <w:rStyle w:val="EndnoteReference"/>
        </w:rPr>
        <w:endnoteReference w:id="26"/>
      </w:r>
      <w:r w:rsidR="00853CEB">
        <w:t> </w:t>
      </w:r>
      <w:r w:rsidRPr="00B62337">
        <w:t>Anxiety has been found in 20 percent of community-dwelling in</w:t>
      </w:r>
      <w:r w:rsidR="00482FCA" w:rsidRPr="00B62337">
        <w:t>dividuals with dementia.</w:t>
      </w:r>
      <w:r w:rsidR="00482FCA" w:rsidRPr="00B62337">
        <w:rPr>
          <w:rStyle w:val="EndnoteReference"/>
        </w:rPr>
        <w:endnoteReference w:id="27"/>
      </w:r>
    </w:p>
    <w:p w:rsidR="00AB074D" w:rsidRPr="00B62337" w:rsidRDefault="00AB074D" w:rsidP="00AB074D">
      <w:pPr>
        <w:jc w:val="both"/>
      </w:pPr>
    </w:p>
    <w:p w:rsidR="00AB074D" w:rsidRPr="00B62337" w:rsidRDefault="00AB074D" w:rsidP="00AB074D">
      <w:pPr>
        <w:jc w:val="both"/>
      </w:pPr>
      <w:r w:rsidRPr="00B62337">
        <w:t>The good news is that depression and anxiety in persons wit</w:t>
      </w:r>
      <w:r w:rsidR="000E79E0">
        <w:t>h dementia can be improved with </w:t>
      </w:r>
      <w:r w:rsidRPr="00B62337">
        <w:t>psychosocial interventions.</w:t>
      </w:r>
      <w:r w:rsidR="00482FCA" w:rsidRPr="00B62337">
        <w:rPr>
          <w:rStyle w:val="EndnoteReference"/>
        </w:rPr>
        <w:endnoteReference w:id="28"/>
      </w:r>
      <w:r w:rsidR="00853CEB">
        <w:t> </w:t>
      </w:r>
      <w:r w:rsidR="00FC1CE5">
        <w:t> </w:t>
      </w:r>
      <w:r w:rsidRPr="00B62337">
        <w:t>Support groups have also been developed t</w:t>
      </w:r>
      <w:r w:rsidR="009D1C74">
        <w:t>o</w:t>
      </w:r>
      <w:r w:rsidRPr="00B62337">
        <w:t xml:space="preserve"> help those with dementia better maintain their current skill set, plan for the future, and stay </w:t>
      </w:r>
      <w:r w:rsidR="009D1C74">
        <w:t xml:space="preserve">engaged </w:t>
      </w:r>
      <w:r w:rsidRPr="00B62337">
        <w:t>with activities they care about.</w:t>
      </w:r>
      <w:r w:rsidR="00482FCA" w:rsidRPr="00B62337">
        <w:rPr>
          <w:rStyle w:val="EndnoteReference"/>
        </w:rPr>
        <w:endnoteReference w:id="29"/>
      </w:r>
      <w:r w:rsidR="00853CEB">
        <w:t> </w:t>
      </w:r>
      <w:r w:rsidR="00657DD3">
        <w:t> </w:t>
      </w:r>
      <w:r w:rsidRPr="00B62337">
        <w:t>Physical therapy, aromatherapy, and other interventions have also demonstrated benefits.</w:t>
      </w:r>
      <w:r w:rsidR="00482FCA" w:rsidRPr="00B62337">
        <w:rPr>
          <w:rStyle w:val="EndnoteReference"/>
        </w:rPr>
        <w:endnoteReference w:id="30"/>
      </w:r>
      <w:r w:rsidRPr="00B62337">
        <w:t xml:space="preserve">  </w:t>
      </w:r>
    </w:p>
    <w:p w:rsidR="00AB074D" w:rsidRPr="00B62337" w:rsidRDefault="00AB074D" w:rsidP="00AB074D">
      <w:pPr>
        <w:jc w:val="both"/>
      </w:pPr>
    </w:p>
    <w:p w:rsidR="00AB074D" w:rsidRPr="00B62337" w:rsidRDefault="00AB074D" w:rsidP="00AB074D">
      <w:pPr>
        <w:jc w:val="both"/>
      </w:pPr>
      <w:r w:rsidRPr="00B62337">
        <w:t>Persons with dementia may have comorbid conditions that are made more difficult to treat because of the dementing illness.  Persons with dementia may not be able to verbally report internal sensations</w:t>
      </w:r>
      <w:r w:rsidR="009D1C74">
        <w:t>,</w:t>
      </w:r>
      <w:r w:rsidRPr="00B62337">
        <w:t xml:space="preserve"> such as pain, fatigue, or hunger.</w:t>
      </w:r>
      <w:r w:rsidR="003F2947" w:rsidRPr="00B62337">
        <w:rPr>
          <w:rStyle w:val="EndnoteReference"/>
        </w:rPr>
        <w:endnoteReference w:id="31"/>
      </w:r>
      <w:r w:rsidR="00853CEB">
        <w:t> </w:t>
      </w:r>
      <w:r w:rsidR="00657DD3">
        <w:t> </w:t>
      </w:r>
      <w:r w:rsidRPr="00B62337">
        <w:t>This can make symptoms more difficult to detect.  This verbal impairment puts people with dementia at risk for experiencing excess disability, defined as greater impairment than what would be expected from the underlying condition alone.</w:t>
      </w:r>
      <w:r w:rsidR="003F2947" w:rsidRPr="00B62337">
        <w:rPr>
          <w:rStyle w:val="EndnoteReference"/>
        </w:rPr>
        <w:endnoteReference w:id="32"/>
      </w:r>
      <w:r w:rsidR="00853CEB">
        <w:t> </w:t>
      </w:r>
      <w:r w:rsidR="00657DD3">
        <w:t> </w:t>
      </w:r>
      <w:r w:rsidRPr="00B62337">
        <w:t xml:space="preserve">Research </w:t>
      </w:r>
      <w:r w:rsidR="009D1C74">
        <w:t>indicates</w:t>
      </w:r>
      <w:r w:rsidRPr="00B62337">
        <w:t xml:space="preserve"> that persons with dementia and comorbid cancer, or other serious illnesses, are </w:t>
      </w:r>
      <w:r w:rsidR="00831635">
        <w:t xml:space="preserve">more likely to be </w:t>
      </w:r>
      <w:r w:rsidRPr="00B62337">
        <w:t>given less pain medication than nondemented patients.</w:t>
      </w:r>
      <w:r w:rsidR="00CC73C6" w:rsidRPr="00B62337">
        <w:rPr>
          <w:rStyle w:val="EndnoteReference"/>
        </w:rPr>
        <w:endnoteReference w:id="33"/>
      </w:r>
      <w:r w:rsidRPr="00B62337">
        <w:t xml:space="preserve">  </w:t>
      </w:r>
    </w:p>
    <w:p w:rsidR="00AB074D" w:rsidRPr="00B62337" w:rsidRDefault="00AB074D" w:rsidP="00AB074D">
      <w:pPr>
        <w:jc w:val="both"/>
      </w:pPr>
    </w:p>
    <w:p w:rsidR="00AB074D" w:rsidRPr="00B62337" w:rsidRDefault="00AB074D" w:rsidP="00AB074D">
      <w:pPr>
        <w:jc w:val="both"/>
      </w:pPr>
      <w:r w:rsidRPr="00B62337">
        <w:t>Another primary concern to persons with dementia is preserving a sense of independence.  Unfortunately</w:t>
      </w:r>
      <w:r w:rsidR="009D1C74">
        <w:t>,</w:t>
      </w:r>
      <w:r w:rsidRPr="00B62337">
        <w:t xml:space="preserve"> because of the disease, persons with dementia will gradually become more reliant on others.  However, families and care providers can preserve the individuals’ safety and well</w:t>
      </w:r>
      <w:r w:rsidR="00D341F3">
        <w:t>-</w:t>
      </w:r>
      <w:r w:rsidRPr="00B62337">
        <w:t>being while still</w:t>
      </w:r>
      <w:r w:rsidR="00F65371">
        <w:t xml:space="preserve"> offering choices and dignity.  </w:t>
      </w:r>
      <w:r w:rsidR="009D1C74">
        <w:t>Substantial</w:t>
      </w:r>
      <w:r w:rsidRPr="00B62337">
        <w:t xml:space="preserve"> research has shown </w:t>
      </w:r>
      <w:r w:rsidR="009D1C74">
        <w:t xml:space="preserve">significant </w:t>
      </w:r>
      <w:r w:rsidRPr="00B62337">
        <w:t>benefits of this person-centered promotion of choice.</w:t>
      </w:r>
      <w:r w:rsidR="00CC73C6" w:rsidRPr="00B62337">
        <w:rPr>
          <w:rStyle w:val="EndnoteReference"/>
        </w:rPr>
        <w:endnoteReference w:id="34"/>
      </w:r>
      <w:r w:rsidRPr="00B62337">
        <w:t xml:space="preserve">  </w:t>
      </w:r>
    </w:p>
    <w:p w:rsidR="00AB074D" w:rsidRPr="00B62337" w:rsidRDefault="00AB074D" w:rsidP="00AB074D">
      <w:pPr>
        <w:jc w:val="both"/>
      </w:pPr>
    </w:p>
    <w:p w:rsidR="00AB074D" w:rsidRPr="00B62337" w:rsidRDefault="00AB074D" w:rsidP="00AB074D">
      <w:pPr>
        <w:jc w:val="both"/>
        <w:rPr>
          <w:u w:val="single"/>
        </w:rPr>
      </w:pPr>
      <w:r w:rsidRPr="00B62337">
        <w:rPr>
          <w:u w:val="single"/>
        </w:rPr>
        <w:t>For the Caregivers</w:t>
      </w:r>
    </w:p>
    <w:p w:rsidR="00AB074D" w:rsidRPr="00B62337" w:rsidRDefault="00AB074D" w:rsidP="00AB074D">
      <w:pPr>
        <w:jc w:val="both"/>
        <w:rPr>
          <w:u w:val="single"/>
        </w:rPr>
      </w:pPr>
    </w:p>
    <w:p w:rsidR="00AB074D" w:rsidRPr="00B62337" w:rsidRDefault="00AB074D" w:rsidP="00AB074D">
      <w:pPr>
        <w:jc w:val="both"/>
      </w:pPr>
      <w:r w:rsidRPr="00B62337">
        <w:t xml:space="preserve">Caregivers of those with dementia also report high rates of </w:t>
      </w:r>
      <w:r w:rsidR="00D341F3" w:rsidRPr="00B62337">
        <w:t>anxiety, burnout</w:t>
      </w:r>
      <w:r w:rsidR="00D341F3">
        <w:t>,</w:t>
      </w:r>
      <w:r w:rsidR="00D341F3" w:rsidRPr="00B62337">
        <w:t xml:space="preserve"> </w:t>
      </w:r>
      <w:r w:rsidRPr="00B62337">
        <w:t xml:space="preserve">depression, </w:t>
      </w:r>
      <w:r w:rsidR="008A68B0">
        <w:t>and </w:t>
      </w:r>
      <w:r w:rsidRPr="00B62337">
        <w:t>stress.  These may manifest in physical symptoms as well, with caregiver</w:t>
      </w:r>
      <w:r w:rsidR="001A5519">
        <w:t xml:space="preserve">s </w:t>
      </w:r>
      <w:r w:rsidR="008A68B0">
        <w:t>at an increased </w:t>
      </w:r>
      <w:r w:rsidR="001A5519">
        <w:t>risk of</w:t>
      </w:r>
      <w:r w:rsidR="00D76275">
        <w:t xml:space="preserve"> </w:t>
      </w:r>
      <w:r w:rsidR="001A5519">
        <w:t>cardiovascular</w:t>
      </w:r>
      <w:r w:rsidR="00D76275">
        <w:t xml:space="preserve"> </w:t>
      </w:r>
      <w:r w:rsidR="001A5519">
        <w:t>disease,</w:t>
      </w:r>
      <w:r w:rsidR="00D76275">
        <w:t xml:space="preserve"> </w:t>
      </w:r>
      <w:r w:rsidR="001A5519">
        <w:t>high</w:t>
      </w:r>
      <w:r w:rsidR="00D76275">
        <w:t xml:space="preserve"> </w:t>
      </w:r>
      <w:r w:rsidR="001A5519">
        <w:t>blood</w:t>
      </w:r>
      <w:r w:rsidR="00D76275">
        <w:t xml:space="preserve"> </w:t>
      </w:r>
      <w:r w:rsidR="001A5519">
        <w:t>pressure,</w:t>
      </w:r>
      <w:r w:rsidR="00D76275">
        <w:t xml:space="preserve"> </w:t>
      </w:r>
      <w:r w:rsidR="001A5519">
        <w:t>and</w:t>
      </w:r>
      <w:r w:rsidR="00D76275">
        <w:t xml:space="preserve"> </w:t>
      </w:r>
      <w:r w:rsidRPr="00B62337">
        <w:t>im</w:t>
      </w:r>
      <w:r w:rsidR="001A5519">
        <w:t>paired</w:t>
      </w:r>
      <w:r w:rsidR="00D76275">
        <w:t xml:space="preserve"> </w:t>
      </w:r>
      <w:r w:rsidR="001A5519">
        <w:t>immune</w:t>
      </w:r>
      <w:r w:rsidR="00D76275">
        <w:t xml:space="preserve"> </w:t>
      </w:r>
      <w:r w:rsidR="001A5519">
        <w:t>systems.</w:t>
      </w:r>
      <w:r w:rsidR="00D76275">
        <w:t xml:space="preserve">  </w:t>
      </w:r>
      <w:r w:rsidR="008A68B0">
        <w:t xml:space="preserve">Elderly </w:t>
      </w:r>
      <w:r w:rsidRPr="00B62337">
        <w:t>caregivers have a 63 percent higher mortality rate</w:t>
      </w:r>
      <w:r w:rsidR="008A68B0">
        <w:t xml:space="preserve"> than noncaregivers of the same </w:t>
      </w:r>
      <w:r w:rsidRPr="00B62337">
        <w:t>age.</w:t>
      </w:r>
      <w:r w:rsidR="00CC73C6" w:rsidRPr="00B62337">
        <w:rPr>
          <w:rStyle w:val="EndnoteReference"/>
        </w:rPr>
        <w:endnoteReference w:id="35"/>
      </w:r>
      <w:r w:rsidRPr="00B62337">
        <w:t xml:space="preserve">  </w:t>
      </w:r>
    </w:p>
    <w:p w:rsidR="00AB074D" w:rsidRPr="00B62337" w:rsidRDefault="00AB074D" w:rsidP="00AB074D">
      <w:pPr>
        <w:jc w:val="both"/>
      </w:pPr>
    </w:p>
    <w:p w:rsidR="00AB074D" w:rsidRPr="00B62337" w:rsidRDefault="00AB074D" w:rsidP="00AB074D">
      <w:pPr>
        <w:jc w:val="both"/>
      </w:pPr>
      <w:r w:rsidRPr="009D1C74">
        <w:rPr>
          <w:spacing w:val="-2"/>
        </w:rPr>
        <w:t xml:space="preserve">The high stress on caregivers, particularly combined with a lack of education about dementia and poor coping skills, can put the care recipient at an increased risk of elder abuse.  </w:t>
      </w:r>
      <w:r w:rsidR="009D1C74" w:rsidRPr="009D1C74">
        <w:rPr>
          <w:spacing w:val="-2"/>
        </w:rPr>
        <w:t>More</w:t>
      </w:r>
      <w:r w:rsidR="009D1C74">
        <w:t xml:space="preserve"> than </w:t>
      </w:r>
      <w:r w:rsidRPr="00B62337">
        <w:t>half</w:t>
      </w:r>
      <w:r w:rsidR="00D341F3">
        <w:t> </w:t>
      </w:r>
      <w:r w:rsidRPr="00B62337">
        <w:t>a million reports of elder abuse were investigated in the fiscal year reported in the last Adult Protective Services national report in 2004 (National Center on Elder Abuse, 2006)</w:t>
      </w:r>
      <w:r w:rsidR="00754BD5">
        <w:t>.</w:t>
      </w:r>
      <w:r w:rsidR="008D151C">
        <w:rPr>
          <w:rStyle w:val="EndnoteReference"/>
        </w:rPr>
        <w:endnoteReference w:id="36"/>
      </w:r>
      <w:r w:rsidRPr="00B62337">
        <w:t xml:space="preserve">  </w:t>
      </w:r>
      <w:r w:rsidRPr="00B62337">
        <w:lastRenderedPageBreak/>
        <w:t>Families and professionals may remain unaware of reporting criteria and do not have valid screening tools, so many more cases may go unreported.</w:t>
      </w:r>
      <w:r w:rsidR="00CC73C6" w:rsidRPr="00B62337">
        <w:rPr>
          <w:rStyle w:val="EndnoteReference"/>
        </w:rPr>
        <w:endnoteReference w:id="37"/>
      </w:r>
      <w:r w:rsidRPr="00B62337">
        <w:t xml:space="preserve"> </w:t>
      </w:r>
    </w:p>
    <w:p w:rsidR="00AB074D" w:rsidRPr="00B62337" w:rsidRDefault="00AB074D" w:rsidP="00AB074D">
      <w:pPr>
        <w:jc w:val="both"/>
      </w:pPr>
    </w:p>
    <w:p w:rsidR="00AB074D" w:rsidRDefault="00AB074D" w:rsidP="00AB074D">
      <w:pPr>
        <w:jc w:val="both"/>
      </w:pPr>
      <w:r w:rsidRPr="00B62337">
        <w:t>Studies have shown that dementia education and structured support groups are beneficial in reducing caregiver depression, stress, and other problems.</w:t>
      </w:r>
      <w:r w:rsidR="00CC73C6" w:rsidRPr="00B62337">
        <w:rPr>
          <w:rStyle w:val="EndnoteReference"/>
        </w:rPr>
        <w:endnoteReference w:id="38"/>
      </w:r>
      <w:r w:rsidR="001A5519">
        <w:t> </w:t>
      </w:r>
      <w:r w:rsidR="008A68B0">
        <w:t> </w:t>
      </w:r>
      <w:r w:rsidRPr="00B62337">
        <w:t>It is important for caregivers to remain connected to their social network and valued activities, as they may also suffer from the stigma attached to dementia.  Family and friends may be less willing to spend time with the</w:t>
      </w:r>
      <w:r w:rsidR="007E45BA">
        <w:t> </w:t>
      </w:r>
      <w:r w:rsidRPr="00B62337">
        <w:t>family, and caregivers may feel ashamed and reluctant as well.</w:t>
      </w:r>
      <w:r w:rsidR="00CC73C6" w:rsidRPr="00B62337">
        <w:rPr>
          <w:rStyle w:val="EndnoteReference"/>
        </w:rPr>
        <w:endnoteReference w:id="39"/>
      </w:r>
      <w:r w:rsidR="001A5519">
        <w:t> </w:t>
      </w:r>
      <w:r w:rsidR="008A68B0">
        <w:t> </w:t>
      </w:r>
      <w:r w:rsidR="00831635">
        <w:t xml:space="preserve">Additionally, the time and effort required to be a primary caregiver is a barrier to socializing, pursuing </w:t>
      </w:r>
      <w:r w:rsidR="00E93289">
        <w:t xml:space="preserve">enjoyable activities, and even </w:t>
      </w:r>
      <w:r w:rsidR="00831635">
        <w:t>maintaining self-care.</w:t>
      </w:r>
      <w:r w:rsidR="009B6733">
        <w:t xml:space="preserve">  Respite</w:t>
      </w:r>
      <w:r w:rsidR="001D3673">
        <w:t>—</w:t>
      </w:r>
      <w:r w:rsidR="009B6733">
        <w:t>meaning a brief break from caregiving responsibilities</w:t>
      </w:r>
      <w:r w:rsidR="001D3673">
        <w:t>—</w:t>
      </w:r>
      <w:r w:rsidR="009B6733">
        <w:t>has consistently been identified as a vital service to maintain caregiver health and well</w:t>
      </w:r>
      <w:r w:rsidR="001D3673">
        <w:t>-</w:t>
      </w:r>
      <w:r w:rsidR="009B6733">
        <w:t>being</w:t>
      </w:r>
      <w:r w:rsidR="00E870FB">
        <w:t>.</w:t>
      </w:r>
      <w:r w:rsidR="00E870FB">
        <w:rPr>
          <w:rStyle w:val="EndnoteReference"/>
        </w:rPr>
        <w:endnoteReference w:id="40"/>
      </w:r>
      <w:r w:rsidR="009B6733">
        <w:t xml:space="preserve"> </w:t>
      </w:r>
    </w:p>
    <w:p w:rsidR="00984361" w:rsidRDefault="00984361" w:rsidP="00AB074D">
      <w:pPr>
        <w:jc w:val="both"/>
      </w:pPr>
    </w:p>
    <w:p w:rsidR="00984361" w:rsidRDefault="00984361" w:rsidP="00984361">
      <w:pPr>
        <w:jc w:val="both"/>
        <w:rPr>
          <w:spacing w:val="-2"/>
        </w:rPr>
      </w:pPr>
      <w:r w:rsidRPr="00A047C6">
        <w:rPr>
          <w:b/>
          <w:spacing w:val="-2"/>
        </w:rPr>
        <w:t>Recommendation</w:t>
      </w:r>
      <w:r>
        <w:rPr>
          <w:b/>
          <w:spacing w:val="-2"/>
        </w:rPr>
        <w:t xml:space="preserve"> 15</w:t>
      </w:r>
      <w:r w:rsidRPr="00A047C6">
        <w:rPr>
          <w:b/>
          <w:spacing w:val="-2"/>
        </w:rPr>
        <w:t>:</w:t>
      </w:r>
      <w:r w:rsidRPr="00A047C6">
        <w:rPr>
          <w:spacing w:val="-2"/>
        </w:rPr>
        <w:t xml:space="preserve">  </w:t>
      </w:r>
    </w:p>
    <w:p w:rsidR="00984361" w:rsidRDefault="00984361" w:rsidP="00984361">
      <w:pPr>
        <w:jc w:val="both"/>
        <w:rPr>
          <w:spacing w:val="-2"/>
        </w:rPr>
      </w:pPr>
    </w:p>
    <w:p w:rsidR="00984361" w:rsidRDefault="00984361" w:rsidP="00984361">
      <w:pPr>
        <w:numPr>
          <w:ilvl w:val="0"/>
          <w:numId w:val="30"/>
        </w:numPr>
        <w:jc w:val="both"/>
        <w:rPr>
          <w:spacing w:val="-2"/>
        </w:rPr>
      </w:pPr>
      <w:r w:rsidRPr="000C1C8D">
        <w:rPr>
          <w:spacing w:val="-2"/>
        </w:rPr>
        <w:t xml:space="preserve">Provide caregivers with access to evidence based support services that </w:t>
      </w:r>
      <w:r>
        <w:rPr>
          <w:spacing w:val="-2"/>
        </w:rPr>
        <w:t xml:space="preserve">promote knowledge of how neurocognitive disorders affect behavior, </w:t>
      </w:r>
      <w:r w:rsidRPr="000C1C8D">
        <w:rPr>
          <w:spacing w:val="-2"/>
        </w:rPr>
        <w:t xml:space="preserve">perspective taking, emotion regulation skills, and instrumental problem solving skills. </w:t>
      </w:r>
      <w:r>
        <w:rPr>
          <w:spacing w:val="-2"/>
        </w:rPr>
        <w:t>Research on the effectiveness of interventions to promote these complex skills indicates that direct instruction coupled with guided practice in the use of the skills under real-life circumstances are the most effective methods of promoting knowledge and skill acquisition. (</w:t>
      </w:r>
      <w:r w:rsidRPr="00AB7CF5">
        <w:rPr>
          <w:spacing w:val="-2"/>
          <w:highlight w:val="yellow"/>
        </w:rPr>
        <w:t>Add Citation</w:t>
      </w:r>
      <w:r>
        <w:rPr>
          <w:spacing w:val="-2"/>
        </w:rPr>
        <w:t>)</w:t>
      </w:r>
    </w:p>
    <w:p w:rsidR="00984361" w:rsidRPr="000C1C8D" w:rsidRDefault="00984361" w:rsidP="00984361">
      <w:pPr>
        <w:ind w:left="720"/>
        <w:jc w:val="both"/>
        <w:rPr>
          <w:spacing w:val="-2"/>
        </w:rPr>
      </w:pPr>
    </w:p>
    <w:p w:rsidR="00984361" w:rsidRPr="00244E02" w:rsidRDefault="00984361" w:rsidP="00984361">
      <w:pPr>
        <w:numPr>
          <w:ilvl w:val="0"/>
          <w:numId w:val="30"/>
        </w:numPr>
        <w:jc w:val="both"/>
        <w:rPr>
          <w:rFonts w:eastAsia="Cambria"/>
        </w:rPr>
      </w:pPr>
      <w:r w:rsidRPr="007E45BA">
        <w:rPr>
          <w:spacing w:val="-2"/>
        </w:rPr>
        <w:t xml:space="preserve">Provide and expand respite services for family caregivers of </w:t>
      </w:r>
      <w:r>
        <w:rPr>
          <w:spacing w:val="-2"/>
        </w:rPr>
        <w:t>persons</w:t>
      </w:r>
      <w:r w:rsidRPr="007E45BA">
        <w:rPr>
          <w:spacing w:val="-2"/>
        </w:rPr>
        <w:t xml:space="preserve"> with Alzheimer’s </w:t>
      </w:r>
      <w:r>
        <w:rPr>
          <w:spacing w:val="-2"/>
        </w:rPr>
        <w:t>d</w:t>
      </w:r>
      <w:r w:rsidRPr="007E45BA">
        <w:rPr>
          <w:spacing w:val="-2"/>
        </w:rPr>
        <w:t xml:space="preserve">isease and </w:t>
      </w:r>
      <w:r>
        <w:rPr>
          <w:spacing w:val="-2"/>
        </w:rPr>
        <w:t>related disorders with the goal of promoting quality of life through increased opportunities for pleasant experiences for both persons with dementia and their family caregivers.</w:t>
      </w:r>
      <w:r w:rsidRPr="007E45BA">
        <w:rPr>
          <w:spacing w:val="-2"/>
        </w:rPr>
        <w:t xml:space="preserve"> Broaden the eligibility requirements for use of respite </w:t>
      </w:r>
      <w:r>
        <w:rPr>
          <w:spacing w:val="-2"/>
        </w:rPr>
        <w:t xml:space="preserve">programs and </w:t>
      </w:r>
      <w:r w:rsidRPr="007E45BA">
        <w:rPr>
          <w:spacing w:val="-2"/>
        </w:rPr>
        <w:t>grants</w:t>
      </w:r>
      <w:r>
        <w:rPr>
          <w:spacing w:val="-2"/>
        </w:rPr>
        <w:t xml:space="preserve"> so that more families may benefit from them</w:t>
      </w:r>
      <w:r w:rsidRPr="00AC3A44">
        <w:rPr>
          <w:spacing w:val="-2"/>
        </w:rPr>
        <w:t xml:space="preserve"> </w:t>
      </w:r>
      <w:r w:rsidRPr="007E45BA">
        <w:rPr>
          <w:spacing w:val="-2"/>
        </w:rPr>
        <w:t>regardless of financial status</w:t>
      </w:r>
      <w:r>
        <w:rPr>
          <w:spacing w:val="-2"/>
        </w:rPr>
        <w:t xml:space="preserve"> or age</w:t>
      </w:r>
      <w:r w:rsidRPr="007E45BA">
        <w:rPr>
          <w:spacing w:val="-2"/>
        </w:rPr>
        <w:t>.</w:t>
      </w:r>
    </w:p>
    <w:p w:rsidR="00984361" w:rsidRPr="00B62337" w:rsidRDefault="00984361" w:rsidP="00984361">
      <w:pPr>
        <w:jc w:val="both"/>
      </w:pPr>
    </w:p>
    <w:p w:rsidR="00984361" w:rsidRPr="00B62337" w:rsidRDefault="00984361" w:rsidP="00984361">
      <w:pPr>
        <w:jc w:val="both"/>
      </w:pPr>
      <w:r w:rsidRPr="00B62337">
        <w:rPr>
          <w:b/>
        </w:rPr>
        <w:t>Indicators:</w:t>
      </w:r>
      <w:r w:rsidRPr="00B62337">
        <w:t xml:space="preserve"> </w:t>
      </w:r>
      <w:r>
        <w:t xml:space="preserve"> </w:t>
      </w:r>
      <w:r w:rsidRPr="00B62337">
        <w:t>Number of caregivers using respite services; hours of respite utilized</w:t>
      </w:r>
      <w:r>
        <w:t>, number of reported incidents of abuse and neglect, number of admissions to emergency rooms due to challenging behaviors, number of Nevadans with dementia rejected by long-term care facilities due to challenging behaviors that are considered “unmanageable”.</w:t>
      </w:r>
    </w:p>
    <w:p w:rsidR="00984361" w:rsidRPr="00B62337" w:rsidRDefault="00984361" w:rsidP="00984361">
      <w:pPr>
        <w:jc w:val="both"/>
      </w:pPr>
    </w:p>
    <w:p w:rsidR="00984361" w:rsidRPr="00B62337" w:rsidRDefault="00984361" w:rsidP="00984361">
      <w:pPr>
        <w:jc w:val="both"/>
      </w:pPr>
      <w:r w:rsidRPr="00B62337">
        <w:rPr>
          <w:b/>
        </w:rPr>
        <w:t xml:space="preserve">Potential Funding: </w:t>
      </w:r>
      <w:r>
        <w:rPr>
          <w:b/>
        </w:rPr>
        <w:t xml:space="preserve"> </w:t>
      </w:r>
      <w:r>
        <w:t>Fund for a</w:t>
      </w:r>
      <w:r w:rsidRPr="007E45BA">
        <w:t xml:space="preserve"> Healthy Nevada</w:t>
      </w:r>
      <w:r>
        <w:t>;</w:t>
      </w:r>
      <w:r w:rsidRPr="007E45BA">
        <w:t xml:space="preserve"> </w:t>
      </w:r>
      <w:r>
        <w:t>Retired and Senior Volunteer Program (</w:t>
      </w:r>
      <w:r w:rsidRPr="007E45BA">
        <w:t>RSVP</w:t>
      </w:r>
      <w:r>
        <w:t>);</w:t>
      </w:r>
      <w:r w:rsidRPr="007E45BA">
        <w:t xml:space="preserve"> Older American</w:t>
      </w:r>
      <w:r>
        <w:t>s</w:t>
      </w:r>
      <w:r w:rsidRPr="007E45BA">
        <w:t xml:space="preserve"> Act funding</w:t>
      </w:r>
      <w:r w:rsidR="00AB7CF5">
        <w:t xml:space="preserve"> (Title III).</w:t>
      </w:r>
    </w:p>
    <w:p w:rsidR="00AB074D" w:rsidRPr="00B62337" w:rsidRDefault="00AB074D" w:rsidP="00AB074D">
      <w:pPr>
        <w:jc w:val="both"/>
      </w:pPr>
    </w:p>
    <w:p w:rsidR="005265D1" w:rsidRPr="005265D1" w:rsidRDefault="00AB074D" w:rsidP="00A047C6">
      <w:pPr>
        <w:jc w:val="both"/>
        <w:rPr>
          <w:rFonts w:eastAsia="Cambria"/>
        </w:rPr>
      </w:pPr>
      <w:r w:rsidRPr="005265D1">
        <w:rPr>
          <w:b/>
        </w:rPr>
        <w:t>Recommendation</w:t>
      </w:r>
      <w:r w:rsidR="00956CD9">
        <w:rPr>
          <w:b/>
        </w:rPr>
        <w:t xml:space="preserve"> 16</w:t>
      </w:r>
      <w:r w:rsidRPr="005265D1">
        <w:rPr>
          <w:b/>
        </w:rPr>
        <w:t>:</w:t>
      </w:r>
      <w:r w:rsidRPr="00B62337">
        <w:t xml:space="preserve">  </w:t>
      </w:r>
      <w:r w:rsidR="005265D1" w:rsidRPr="00B62337">
        <w:t>Explore</w:t>
      </w:r>
      <w:r w:rsidR="007F03D4">
        <w:t xml:space="preserve"> </w:t>
      </w:r>
      <w:r w:rsidR="005265D1" w:rsidRPr="00B62337">
        <w:t>the use of volunteers to provide support to family caregivers by collaborating with community organizations and faith</w:t>
      </w:r>
      <w:r w:rsidR="005265D1">
        <w:t>-</w:t>
      </w:r>
      <w:r w:rsidR="005265D1" w:rsidRPr="00B62337">
        <w:t xml:space="preserve">based groups.  </w:t>
      </w:r>
      <w:r w:rsidR="005E5637">
        <w:t>Recruit volunteers through public drives and awareness campaigns.  Provide volunteers with training and education so that they can better serve those with Alzheimer’s disease and other dementias</w:t>
      </w:r>
      <w:r w:rsidR="00A806C7">
        <w:t xml:space="preserve"> and their families.</w:t>
      </w:r>
    </w:p>
    <w:p w:rsidR="005265D1" w:rsidRDefault="005265D1" w:rsidP="00EA579E">
      <w:pPr>
        <w:jc w:val="both"/>
      </w:pPr>
    </w:p>
    <w:p w:rsidR="00CB37E2" w:rsidRDefault="00AB074D" w:rsidP="00EA579E">
      <w:pPr>
        <w:jc w:val="both"/>
      </w:pPr>
      <w:r w:rsidRPr="00B62337">
        <w:rPr>
          <w:b/>
        </w:rPr>
        <w:t>Indicators</w:t>
      </w:r>
      <w:r w:rsidR="00B76D44" w:rsidRPr="00B76D44">
        <w:t xml:space="preserve"> </w:t>
      </w:r>
      <w:r w:rsidR="00B76D44">
        <w:t xml:space="preserve">of </w:t>
      </w:r>
      <w:commentRangeStart w:id="8"/>
      <w:r w:rsidR="00B76D44">
        <w:t>Need</w:t>
      </w:r>
      <w:commentRangeEnd w:id="8"/>
      <w:r w:rsidR="00B76D44">
        <w:rPr>
          <w:rStyle w:val="CommentReference"/>
        </w:rPr>
        <w:commentReference w:id="8"/>
      </w:r>
      <w:r w:rsidR="00B76D44">
        <w:rPr>
          <w:b/>
        </w:rPr>
        <w:t xml:space="preserve"> </w:t>
      </w:r>
      <w:r w:rsidRPr="00B62337">
        <w:rPr>
          <w:b/>
        </w:rPr>
        <w:t>:</w:t>
      </w:r>
      <w:r w:rsidR="00191CC4" w:rsidRPr="00B62337">
        <w:rPr>
          <w:b/>
        </w:rPr>
        <w:t xml:space="preserve"> </w:t>
      </w:r>
      <w:r w:rsidR="007E45BA">
        <w:rPr>
          <w:b/>
        </w:rPr>
        <w:t xml:space="preserve"> </w:t>
      </w:r>
      <w:r w:rsidR="003843B8" w:rsidRPr="007E45BA">
        <w:t>Monitor volunteer</w:t>
      </w:r>
      <w:r w:rsidR="00191CC4" w:rsidRPr="007E45BA">
        <w:t xml:space="preserve"> organizations </w:t>
      </w:r>
      <w:r w:rsidR="007E45BA">
        <w:t>that</w:t>
      </w:r>
      <w:r w:rsidR="00191CC4" w:rsidRPr="007E45BA">
        <w:t xml:space="preserve"> agree to provide support</w:t>
      </w:r>
      <w:r w:rsidR="00B76D44">
        <w:t xml:space="preserve"> through local recruitments and training</w:t>
      </w:r>
      <w:r w:rsidR="006102DE">
        <w:t>.</w:t>
      </w:r>
    </w:p>
    <w:p w:rsidR="00CB37E2" w:rsidRDefault="00CB37E2" w:rsidP="00EA579E">
      <w:pPr>
        <w:jc w:val="both"/>
      </w:pPr>
    </w:p>
    <w:p w:rsidR="00AB074D" w:rsidRDefault="00AB074D" w:rsidP="00EA579E">
      <w:pPr>
        <w:jc w:val="both"/>
      </w:pPr>
      <w:r w:rsidRPr="00B62337">
        <w:rPr>
          <w:b/>
        </w:rPr>
        <w:t xml:space="preserve">Potential </w:t>
      </w:r>
      <w:r w:rsidR="001C6174" w:rsidRPr="00B62337">
        <w:rPr>
          <w:b/>
        </w:rPr>
        <w:t>Funding:</w:t>
      </w:r>
      <w:r w:rsidRPr="00B62337">
        <w:rPr>
          <w:b/>
        </w:rPr>
        <w:t xml:space="preserve"> </w:t>
      </w:r>
      <w:r w:rsidR="007E45BA">
        <w:rPr>
          <w:b/>
        </w:rPr>
        <w:t xml:space="preserve"> </w:t>
      </w:r>
      <w:r w:rsidR="00191CC4" w:rsidRPr="007E45BA">
        <w:t>Voluntary outreach by members of the Task Force and other volunteers</w:t>
      </w:r>
      <w:r w:rsidR="007E45BA">
        <w:t>.</w:t>
      </w:r>
    </w:p>
    <w:p w:rsidR="009624DD" w:rsidRDefault="009624DD" w:rsidP="00EA579E">
      <w:pPr>
        <w:jc w:val="both"/>
      </w:pPr>
    </w:p>
    <w:p w:rsidR="009624DD" w:rsidRPr="009624DD" w:rsidRDefault="009624DD" w:rsidP="009624DD">
      <w:pPr>
        <w:jc w:val="both"/>
      </w:pPr>
      <w:r>
        <w:lastRenderedPageBreak/>
        <w:t>Individuals with Dementia many times have guardians to oversee their affairs.  These guardians make decisions about where their wards live and who provides care.</w:t>
      </w:r>
      <w:r w:rsidRPr="009624DD">
        <w:rPr>
          <w:rFonts w:ascii="Arial" w:eastAsiaTheme="minorHAnsi" w:hAnsi="Arial" w:cs="Arial"/>
        </w:rPr>
        <w:t xml:space="preserve"> </w:t>
      </w:r>
      <w:r w:rsidRPr="009624DD">
        <w:t>NRS 159.076 states that if the ward has an estate of $10,000 or less, the guardian can use that money to provide for the ward and not provide any additional reports to the court regarding the ward’s finances until the guardianship is dissolved.  This is called an order for “summary administration” and applies when the ward does not own a home or other real property.  A small amount of savings, when combined with regular income, can help to keep a ward in a familiar setting.  With no supervision of how the money in the estate is spent, guardians have been known to spend the savings and then move the ward to an unfamiliar and less expensive setting where the ward’s income supplements the guardian’s living expenses.  This will not be examined by the court as a financial issue if there has been a summary order regarding the ward’s estate.  Additionally, there have been cases when the guardian has received this type of order and proceeded to sell everything the ward owns within a short period of time.  If the ward recovers or is subsequently judged to be capable of returning to their own home, they have nothing left of their former life.</w:t>
      </w:r>
    </w:p>
    <w:p w:rsidR="009624DD" w:rsidRPr="00B62337" w:rsidRDefault="009624DD" w:rsidP="00EA579E">
      <w:pPr>
        <w:jc w:val="both"/>
        <w:rPr>
          <w:b/>
        </w:rPr>
      </w:pPr>
    </w:p>
    <w:p w:rsidR="009624DD" w:rsidRDefault="00AB074D" w:rsidP="009624DD">
      <w:pPr>
        <w:jc w:val="both"/>
        <w:rPr>
          <w:shd w:val="clear" w:color="auto" w:fill="FFFFFF"/>
        </w:rPr>
      </w:pPr>
      <w:r w:rsidRPr="00BD0211">
        <w:rPr>
          <w:b/>
          <w:shd w:val="clear" w:color="auto" w:fill="FFFFFF"/>
        </w:rPr>
        <w:t>Recommendation</w:t>
      </w:r>
      <w:r w:rsidR="00956CD9">
        <w:rPr>
          <w:b/>
          <w:shd w:val="clear" w:color="auto" w:fill="FFFFFF"/>
        </w:rPr>
        <w:t xml:space="preserve"> 17</w:t>
      </w:r>
      <w:r w:rsidRPr="00BD0211">
        <w:rPr>
          <w:b/>
          <w:shd w:val="clear" w:color="auto" w:fill="FFFFFF"/>
        </w:rPr>
        <w:t>:</w:t>
      </w:r>
      <w:r w:rsidRPr="00BD0211">
        <w:rPr>
          <w:shd w:val="clear" w:color="auto" w:fill="FFFFFF"/>
        </w:rPr>
        <w:t xml:space="preserve">  </w:t>
      </w:r>
      <w:r w:rsidR="009624DD" w:rsidRPr="009624DD">
        <w:rPr>
          <w:shd w:val="clear" w:color="auto" w:fill="FFFFFF"/>
        </w:rPr>
        <w:t>Propose legislation to change NRS 159.076, providing an exception to the law allowing summary administration of a small estate if the ward is suffering from dementia, including but not limited to Alzheimer’s disease.</w:t>
      </w:r>
      <w:r w:rsidR="009624DD">
        <w:rPr>
          <w:shd w:val="clear" w:color="auto" w:fill="FFFFFF"/>
        </w:rPr>
        <w:t xml:space="preserve">  </w:t>
      </w:r>
      <w:r w:rsidR="009624DD" w:rsidRPr="009624DD">
        <w:rPr>
          <w:shd w:val="clear" w:color="auto" w:fill="FFFFFF"/>
        </w:rPr>
        <w:t>Ask the Legislature to send a letter to all district courts requesting close supervision of all guardians whose wards suffer from dementia, including but not limited to Alzheimer’s disease, to insure that all reports on the person and estate of the wards are filed and reviewed according to existing law.</w:t>
      </w:r>
    </w:p>
    <w:p w:rsidR="009624DD" w:rsidRPr="009624DD" w:rsidRDefault="009624DD" w:rsidP="009624DD">
      <w:pPr>
        <w:jc w:val="both"/>
        <w:rPr>
          <w:shd w:val="clear" w:color="auto" w:fill="FFFFFF"/>
        </w:rPr>
      </w:pPr>
    </w:p>
    <w:p w:rsidR="00AB074D" w:rsidRPr="00D44B92" w:rsidRDefault="00AB074D" w:rsidP="00EA579E">
      <w:pPr>
        <w:jc w:val="both"/>
      </w:pPr>
      <w:r w:rsidRPr="00B62337">
        <w:rPr>
          <w:b/>
        </w:rPr>
        <w:t>Indicators:</w:t>
      </w:r>
      <w:r w:rsidR="00191CC4" w:rsidRPr="00B62337">
        <w:rPr>
          <w:b/>
        </w:rPr>
        <w:t xml:space="preserve"> </w:t>
      </w:r>
      <w:r w:rsidR="00D44B92">
        <w:rPr>
          <w:b/>
        </w:rPr>
        <w:t xml:space="preserve"> </w:t>
      </w:r>
      <w:r w:rsidR="00191CC4" w:rsidRPr="00D44B92">
        <w:t xml:space="preserve">Coordinate with the appropriate agencies (Medicaid, </w:t>
      </w:r>
      <w:r w:rsidR="00D44B92">
        <w:t>j</w:t>
      </w:r>
      <w:r w:rsidR="00191CC4" w:rsidRPr="00D44B92">
        <w:t xml:space="preserve">udiciary, </w:t>
      </w:r>
      <w:r w:rsidR="00D44B92">
        <w:t>p</w:t>
      </w:r>
      <w:r w:rsidR="00191CC4" w:rsidRPr="00D44B92">
        <w:t>ublic</w:t>
      </w:r>
      <w:r w:rsidRPr="00D44B92">
        <w:t xml:space="preserve"> </w:t>
      </w:r>
      <w:r w:rsidR="00D44B92">
        <w:t>g</w:t>
      </w:r>
      <w:r w:rsidR="00191CC4" w:rsidRPr="00D44B92">
        <w:t xml:space="preserve">uardians, </w:t>
      </w:r>
      <w:r w:rsidR="000E15EF">
        <w:t xml:space="preserve">and </w:t>
      </w:r>
      <w:r w:rsidR="00C10B71">
        <w:t xml:space="preserve">the </w:t>
      </w:r>
      <w:r w:rsidR="00191CC4" w:rsidRPr="00D44B92">
        <w:t xml:space="preserve">Legislature) for </w:t>
      </w:r>
      <w:r w:rsidR="005622FB">
        <w:t>development of recommendations for legislation</w:t>
      </w:r>
      <w:r w:rsidR="00D44B92">
        <w:t>.</w:t>
      </w:r>
    </w:p>
    <w:p w:rsidR="00FC0931" w:rsidRPr="00D44B92" w:rsidRDefault="00FC0931" w:rsidP="00EA579E">
      <w:pPr>
        <w:jc w:val="both"/>
      </w:pPr>
    </w:p>
    <w:p w:rsidR="00AB074D" w:rsidRPr="00B62337" w:rsidRDefault="00AB074D" w:rsidP="00EA579E">
      <w:pPr>
        <w:jc w:val="both"/>
        <w:rPr>
          <w:b/>
        </w:rPr>
      </w:pPr>
      <w:r w:rsidRPr="00B62337">
        <w:rPr>
          <w:b/>
        </w:rPr>
        <w:t xml:space="preserve">Potential </w:t>
      </w:r>
      <w:r w:rsidR="001C6174" w:rsidRPr="00B62337">
        <w:rPr>
          <w:b/>
        </w:rPr>
        <w:t>Funding:</w:t>
      </w:r>
      <w:r w:rsidRPr="00B62337">
        <w:rPr>
          <w:b/>
        </w:rPr>
        <w:t xml:space="preserve"> </w:t>
      </w:r>
      <w:r w:rsidR="00D44B92">
        <w:rPr>
          <w:b/>
        </w:rPr>
        <w:t xml:space="preserve"> </w:t>
      </w:r>
      <w:r w:rsidR="00191CC4" w:rsidRPr="00D44B92">
        <w:t>Legislative appropriation</w:t>
      </w:r>
      <w:r w:rsidR="00D44B92">
        <w:rPr>
          <w:b/>
        </w:rPr>
        <w:t>.</w:t>
      </w:r>
    </w:p>
    <w:p w:rsidR="00AB074D" w:rsidRPr="00B62337" w:rsidRDefault="00AB074D" w:rsidP="00EA579E">
      <w:pPr>
        <w:jc w:val="both"/>
      </w:pPr>
    </w:p>
    <w:p w:rsidR="00411EC0" w:rsidRPr="00411EC0" w:rsidRDefault="00AB074D" w:rsidP="00A047C6">
      <w:pPr>
        <w:jc w:val="both"/>
        <w:rPr>
          <w:rFonts w:eastAsia="Cambria"/>
        </w:rPr>
      </w:pPr>
      <w:r w:rsidRPr="00411EC0">
        <w:rPr>
          <w:b/>
        </w:rPr>
        <w:t>Recommendation</w:t>
      </w:r>
      <w:r w:rsidR="00956CD9">
        <w:rPr>
          <w:b/>
        </w:rPr>
        <w:t xml:space="preserve"> 18</w:t>
      </w:r>
      <w:r w:rsidRPr="00411EC0">
        <w:rPr>
          <w:b/>
        </w:rPr>
        <w:t>:</w:t>
      </w:r>
      <w:r w:rsidR="00D44B92" w:rsidRPr="00411EC0">
        <w:rPr>
          <w:b/>
        </w:rPr>
        <w:t xml:space="preserve"> </w:t>
      </w:r>
      <w:r w:rsidRPr="00B62337">
        <w:t xml:space="preserve"> </w:t>
      </w:r>
      <w:r w:rsidR="00316954" w:rsidRPr="00B62337">
        <w:t xml:space="preserve">Establish </w:t>
      </w:r>
      <w:r w:rsidR="00316954">
        <w:t xml:space="preserve">hospital </w:t>
      </w:r>
      <w:r w:rsidR="00316954" w:rsidRPr="00B62337">
        <w:t>transition</w:t>
      </w:r>
      <w:r w:rsidR="00316954">
        <w:t>al</w:t>
      </w:r>
      <w:r w:rsidR="00316954" w:rsidRPr="00B62337">
        <w:t xml:space="preserve"> care programs that include information on community resources for caregivers and persons with dementia.  Investigate federal funding opportunities through Medicare Innovations or C</w:t>
      </w:r>
      <w:r w:rsidR="00316954">
        <w:t xml:space="preserve">enters for Medicare and Medicaid Services </w:t>
      </w:r>
      <w:r w:rsidR="00316954" w:rsidRPr="00B62337">
        <w:t>to develop a transitions planning program or to avoid the hospital setting altogether</w:t>
      </w:r>
      <w:r w:rsidR="00316954">
        <w:t>,</w:t>
      </w:r>
      <w:r w:rsidR="00316954" w:rsidRPr="00B62337">
        <w:t xml:space="preserve"> i.e., </w:t>
      </w:r>
      <w:r w:rsidR="00316954">
        <w:t xml:space="preserve">a </w:t>
      </w:r>
      <w:r w:rsidR="00316954" w:rsidRPr="00B62337">
        <w:t xml:space="preserve">mobile dementia team </w:t>
      </w:r>
      <w:commentRangeStart w:id="9"/>
      <w:r w:rsidR="00316954" w:rsidRPr="00B62337">
        <w:t>approach</w:t>
      </w:r>
      <w:commentRangeEnd w:id="9"/>
      <w:r w:rsidR="00AE2009">
        <w:rPr>
          <w:rStyle w:val="CommentReference"/>
        </w:rPr>
        <w:commentReference w:id="9"/>
      </w:r>
      <w:r w:rsidR="00316954" w:rsidRPr="00B62337">
        <w:t>.</w:t>
      </w:r>
      <w:r w:rsidR="00411EC0" w:rsidRPr="00B62337">
        <w:t xml:space="preserve">  </w:t>
      </w:r>
    </w:p>
    <w:p w:rsidR="00FC0931" w:rsidRPr="00B62337" w:rsidRDefault="00FC0931" w:rsidP="00EA579E">
      <w:pPr>
        <w:pStyle w:val="NoSpacing"/>
        <w:jc w:val="both"/>
        <w:rPr>
          <w:szCs w:val="24"/>
        </w:rPr>
      </w:pPr>
    </w:p>
    <w:p w:rsidR="005622FB" w:rsidRDefault="00AB074D" w:rsidP="005622FB">
      <w:pPr>
        <w:jc w:val="both"/>
      </w:pPr>
      <w:r w:rsidRPr="00B62337">
        <w:rPr>
          <w:b/>
        </w:rPr>
        <w:t xml:space="preserve">Indicators: </w:t>
      </w:r>
      <w:r w:rsidR="00010DDA">
        <w:rPr>
          <w:b/>
        </w:rPr>
        <w:t xml:space="preserve"> </w:t>
      </w:r>
      <w:r w:rsidR="005622FB">
        <w:t>Increasing number of home-based services and long-term care in the State.  Establishing a central location where available appropriate placements can be accessed.</w:t>
      </w:r>
    </w:p>
    <w:p w:rsidR="00AB074D" w:rsidRPr="00B62337" w:rsidRDefault="00AB074D" w:rsidP="00EA579E">
      <w:pPr>
        <w:jc w:val="both"/>
        <w:rPr>
          <w:b/>
        </w:rPr>
      </w:pPr>
    </w:p>
    <w:p w:rsidR="00AB074D" w:rsidRPr="00B62337" w:rsidRDefault="00AB074D" w:rsidP="00EA579E">
      <w:pPr>
        <w:jc w:val="both"/>
        <w:rPr>
          <w:b/>
        </w:rPr>
      </w:pPr>
      <w:r w:rsidRPr="00B62337">
        <w:rPr>
          <w:b/>
        </w:rPr>
        <w:t xml:space="preserve">Potential </w:t>
      </w:r>
      <w:r w:rsidR="001C6174" w:rsidRPr="00B62337">
        <w:rPr>
          <w:b/>
        </w:rPr>
        <w:t>Funding:</w:t>
      </w:r>
      <w:r w:rsidRPr="00B62337">
        <w:rPr>
          <w:b/>
        </w:rPr>
        <w:t xml:space="preserve"> </w:t>
      </w:r>
      <w:r w:rsidR="005622FB">
        <w:rPr>
          <w:b/>
        </w:rPr>
        <w:t xml:space="preserve"> </w:t>
      </w:r>
      <w:r w:rsidR="00ED7AAA">
        <w:t xml:space="preserve">Collaboration </w:t>
      </w:r>
      <w:r w:rsidR="005622FB">
        <w:t xml:space="preserve">between </w:t>
      </w:r>
      <w:r w:rsidR="00244E02">
        <w:t xml:space="preserve">Nevada </w:t>
      </w:r>
      <w:r w:rsidR="005622FB">
        <w:t xml:space="preserve">ADSD, </w:t>
      </w:r>
      <w:r w:rsidR="00244E02">
        <w:t xml:space="preserve">Nevada </w:t>
      </w:r>
      <w:r w:rsidR="00FC18BE">
        <w:t>DHCFP</w:t>
      </w:r>
      <w:r w:rsidR="00F611D5">
        <w:t>,</w:t>
      </w:r>
      <w:r w:rsidR="005622FB">
        <w:t xml:space="preserve"> and other appropriate State agencies.</w:t>
      </w:r>
    </w:p>
    <w:p w:rsidR="00AB074D" w:rsidRPr="00B62337" w:rsidRDefault="00AB074D" w:rsidP="00AB074D">
      <w:pPr>
        <w:jc w:val="both"/>
      </w:pPr>
    </w:p>
    <w:p w:rsidR="00AB074D" w:rsidRPr="00B62337" w:rsidRDefault="00AB074D" w:rsidP="00CD5FD7">
      <w:pPr>
        <w:keepNext/>
        <w:jc w:val="both"/>
        <w:rPr>
          <w:b/>
        </w:rPr>
      </w:pPr>
      <w:r w:rsidRPr="00B62337">
        <w:rPr>
          <w:b/>
        </w:rPr>
        <w:t xml:space="preserve">Chapter 5: </w:t>
      </w:r>
      <w:r w:rsidR="00010DDA">
        <w:rPr>
          <w:b/>
        </w:rPr>
        <w:t xml:space="preserve"> </w:t>
      </w:r>
      <w:r w:rsidRPr="00B62337">
        <w:rPr>
          <w:b/>
        </w:rPr>
        <w:t>Public Awareness</w:t>
      </w:r>
    </w:p>
    <w:p w:rsidR="00AB074D" w:rsidRPr="00B62337" w:rsidRDefault="00AB074D" w:rsidP="00CD5FD7">
      <w:pPr>
        <w:keepNext/>
        <w:jc w:val="both"/>
        <w:rPr>
          <w:b/>
        </w:rPr>
      </w:pPr>
    </w:p>
    <w:p w:rsidR="00AB074D" w:rsidRPr="00B62337" w:rsidRDefault="00AB074D" w:rsidP="00CD5FD7">
      <w:pPr>
        <w:keepNext/>
        <w:jc w:val="both"/>
        <w:rPr>
          <w:u w:val="single"/>
        </w:rPr>
      </w:pPr>
      <w:r w:rsidRPr="00B62337">
        <w:rPr>
          <w:u w:val="single"/>
        </w:rPr>
        <w:t>Public Safety Programs</w:t>
      </w:r>
    </w:p>
    <w:p w:rsidR="00AB074D" w:rsidRPr="00B62337" w:rsidRDefault="00AB074D" w:rsidP="00CD5FD7">
      <w:pPr>
        <w:keepNext/>
        <w:jc w:val="both"/>
      </w:pPr>
    </w:p>
    <w:p w:rsidR="00AB074D" w:rsidRPr="00B62337" w:rsidRDefault="00AB074D" w:rsidP="00CD5FD7">
      <w:pPr>
        <w:keepNext/>
        <w:jc w:val="both"/>
      </w:pPr>
      <w:r w:rsidRPr="00B62337">
        <w:t xml:space="preserve">Although Nevada has yet to implement a State-specific dementia awareness program, the Alzheimer’s Association and the U.S. Department of Health and Human Services have begun </w:t>
      </w:r>
      <w:r w:rsidRPr="00B62337">
        <w:lastRenderedPageBreak/>
        <w:t>television, radio</w:t>
      </w:r>
      <w:r w:rsidR="00010DDA">
        <w:t>,</w:t>
      </w:r>
      <w:r w:rsidRPr="00B62337">
        <w:t xml:space="preserve"> and print advertisements describing Alzheimer’s </w:t>
      </w:r>
      <w:r w:rsidR="00801C2D">
        <w:t>d</w:t>
      </w:r>
      <w:r w:rsidRPr="00B62337">
        <w:t>isease</w:t>
      </w:r>
      <w:r w:rsidR="00010DDA">
        <w:t xml:space="preserve"> and</w:t>
      </w:r>
      <w:r w:rsidRPr="00B62337">
        <w:t xml:space="preserve"> research efforts, </w:t>
      </w:r>
      <w:r w:rsidR="00F65553">
        <w:t>which</w:t>
      </w:r>
      <w:r w:rsidRPr="00B62337">
        <w:t xml:space="preserve"> encourag</w:t>
      </w:r>
      <w:r w:rsidR="00F65553">
        <w:t>e</w:t>
      </w:r>
      <w:r w:rsidRPr="00B62337">
        <w:t xml:space="preserve"> visits to </w:t>
      </w:r>
      <w:r w:rsidR="009B6733">
        <w:t xml:space="preserve">informational </w:t>
      </w:r>
      <w:r w:rsidRPr="00B62337">
        <w:t>websites</w:t>
      </w:r>
      <w:r w:rsidR="00F65553">
        <w:t>,</w:t>
      </w:r>
      <w:r w:rsidRPr="00B62337">
        <w:t xml:space="preserve"> such as Alzheimers.gov.  </w:t>
      </w:r>
    </w:p>
    <w:p w:rsidR="00AB074D" w:rsidRPr="00B62337" w:rsidRDefault="00AB074D" w:rsidP="00AB074D">
      <w:pPr>
        <w:jc w:val="both"/>
      </w:pPr>
    </w:p>
    <w:p w:rsidR="00AB074D" w:rsidRPr="00B62337" w:rsidRDefault="00010DDA" w:rsidP="00AB074D">
      <w:pPr>
        <w:jc w:val="both"/>
      </w:pPr>
      <w:r>
        <w:t>The</w:t>
      </w:r>
      <w:r w:rsidR="00AB074D" w:rsidRPr="00B62337">
        <w:t xml:space="preserve"> ADS</w:t>
      </w:r>
      <w:r>
        <w:t xml:space="preserve">D </w:t>
      </w:r>
      <w:r w:rsidR="00AB074D" w:rsidRPr="00B62337">
        <w:t xml:space="preserve">created an Elder Abuse </w:t>
      </w:r>
      <w:r w:rsidR="008D156B">
        <w:t>T</w:t>
      </w:r>
      <w:r w:rsidR="00AB074D" w:rsidRPr="00B62337">
        <w:t>raining</w:t>
      </w:r>
      <w:r>
        <w:t xml:space="preserve"> </w:t>
      </w:r>
      <w:r w:rsidR="008D156B">
        <w:t>P</w:t>
      </w:r>
      <w:r>
        <w:t>rogram</w:t>
      </w:r>
      <w:r w:rsidR="00AB074D" w:rsidRPr="00B62337">
        <w:t xml:space="preserve">, which has been given to social workers and care providers throughout the </w:t>
      </w:r>
      <w:r>
        <w:t>S</w:t>
      </w:r>
      <w:r w:rsidR="00AB074D" w:rsidRPr="00B62337">
        <w:t xml:space="preserve">tate.  </w:t>
      </w:r>
      <w:r w:rsidR="00BC6D5C">
        <w:t xml:space="preserve">This training is available on the ADRC website.  </w:t>
      </w:r>
      <w:r w:rsidR="007011D6">
        <w:t>The</w:t>
      </w:r>
      <w:r w:rsidR="00C7143C">
        <w:t> </w:t>
      </w:r>
      <w:r w:rsidR="00AB074D" w:rsidRPr="00B62337">
        <w:t xml:space="preserve">training defines different types of abuse in detail and </w:t>
      </w:r>
      <w:r w:rsidR="00C756E5">
        <w:t>describes potential signs of abuse</w:t>
      </w:r>
      <w:r w:rsidR="002C55BD">
        <w:t>.  It </w:t>
      </w:r>
      <w:r w:rsidR="00AB074D" w:rsidRPr="00B62337">
        <w:t>is difficult to estimate how much elder abuse goes unreported, but research suggests that many cases are not reported.</w:t>
      </w:r>
      <w:r w:rsidR="004C69F2" w:rsidRPr="00B62337">
        <w:rPr>
          <w:rStyle w:val="EndnoteReference"/>
        </w:rPr>
        <w:endnoteReference w:id="41"/>
      </w:r>
    </w:p>
    <w:p w:rsidR="00AB074D" w:rsidRPr="00B62337" w:rsidRDefault="00AB074D" w:rsidP="00AB074D">
      <w:pPr>
        <w:jc w:val="both"/>
      </w:pPr>
    </w:p>
    <w:p w:rsidR="00AB074D" w:rsidRPr="00B62337" w:rsidRDefault="00AB074D" w:rsidP="00AB074D">
      <w:pPr>
        <w:jc w:val="both"/>
      </w:pPr>
      <w:r w:rsidRPr="00B62337">
        <w:t xml:space="preserve">Other states and countries have implemented programs of public education for </w:t>
      </w:r>
      <w:r w:rsidR="00C756E5">
        <w:t>professionals</w:t>
      </w:r>
      <w:r w:rsidRPr="00B62337">
        <w:t xml:space="preserve"> who have frequent contact with the public (</w:t>
      </w:r>
      <w:r w:rsidR="00010DDA">
        <w:t xml:space="preserve">e.g., </w:t>
      </w:r>
      <w:r w:rsidRPr="00B62337">
        <w:t xml:space="preserve">pharmacists, government officials, </w:t>
      </w:r>
      <w:r w:rsidR="00C756E5">
        <w:t xml:space="preserve">police, </w:t>
      </w:r>
      <w:r w:rsidR="00010DDA">
        <w:t>et cetera)</w:t>
      </w:r>
      <w:r w:rsidRPr="00B62337">
        <w:t xml:space="preserve"> about characteristics of dementia.  Even though dementia care is not the focus of their work, these people may still come in contact with persons with dementia and benefit from knowing what to expect and how to better communicate.</w:t>
      </w:r>
      <w:r w:rsidR="004C69F2" w:rsidRPr="00B62337">
        <w:rPr>
          <w:rStyle w:val="EndnoteReference"/>
        </w:rPr>
        <w:endnoteReference w:id="42"/>
      </w:r>
      <w:r w:rsidR="00EF63D6">
        <w:t>  </w:t>
      </w:r>
      <w:r w:rsidRPr="00B62337">
        <w:t xml:space="preserve">These programs may also better prepare citizens to report suspected elder abuse even when they are not mandated reporters.  </w:t>
      </w:r>
    </w:p>
    <w:p w:rsidR="00AB074D" w:rsidRPr="00B62337" w:rsidRDefault="00AB074D" w:rsidP="00AB074D">
      <w:pPr>
        <w:jc w:val="both"/>
      </w:pPr>
    </w:p>
    <w:p w:rsidR="00AB074D" w:rsidRPr="00B62337" w:rsidRDefault="00AB074D" w:rsidP="00AB074D">
      <w:pPr>
        <w:jc w:val="both"/>
        <w:rPr>
          <w:u w:val="single"/>
        </w:rPr>
      </w:pPr>
      <w:r w:rsidRPr="00B62337">
        <w:rPr>
          <w:u w:val="single"/>
        </w:rPr>
        <w:t>Wandering</w:t>
      </w:r>
    </w:p>
    <w:p w:rsidR="00AB074D" w:rsidRPr="00B62337" w:rsidRDefault="00AB074D" w:rsidP="00AB074D">
      <w:pPr>
        <w:jc w:val="both"/>
      </w:pPr>
    </w:p>
    <w:p w:rsidR="00AB074D" w:rsidRPr="00B62337" w:rsidRDefault="00AB074D" w:rsidP="00AB074D">
      <w:pPr>
        <w:jc w:val="both"/>
      </w:pPr>
      <w:r w:rsidRPr="00B62337">
        <w:t>Because of deficits in short</w:t>
      </w:r>
      <w:r w:rsidR="00010DDA">
        <w:t>-</w:t>
      </w:r>
      <w:r w:rsidRPr="00B62337">
        <w:t xml:space="preserve"> and long</w:t>
      </w:r>
      <w:r w:rsidR="00010DDA">
        <w:t>-</w:t>
      </w:r>
      <w:r w:rsidRPr="00B62337">
        <w:t xml:space="preserve">term memory, </w:t>
      </w:r>
      <w:r w:rsidR="00F65553">
        <w:t xml:space="preserve">as well as </w:t>
      </w:r>
      <w:r w:rsidRPr="00B62337">
        <w:t>spatial orientation and way</w:t>
      </w:r>
      <w:r w:rsidR="00F65553">
        <w:noBreakHyphen/>
      </w:r>
      <w:r w:rsidRPr="00B62337">
        <w:t>finding, persons with dementia are at risk for wandering</w:t>
      </w:r>
      <w:r w:rsidR="000E15EF">
        <w:t>—</w:t>
      </w:r>
      <w:r w:rsidRPr="00B62337">
        <w:t>walking away, and forgetting where they</w:t>
      </w:r>
      <w:r w:rsidR="000F0769">
        <w:t xml:space="preserve"> are</w:t>
      </w:r>
      <w:r w:rsidRPr="00B62337">
        <w:t xml:space="preserve"> going or how to get home.  Tragically, this can lead to the person with dementia being exploited, becoming injured, and even dying.  This process can also be very distressing to family members and can be grounds for dismissal from a long</w:t>
      </w:r>
      <w:r w:rsidR="000F0769">
        <w:t>-</w:t>
      </w:r>
      <w:r w:rsidRPr="00B62337">
        <w:t>term care</w:t>
      </w:r>
      <w:r w:rsidR="000F0769">
        <w:t> </w:t>
      </w:r>
      <w:r w:rsidRPr="00B62337">
        <w:t>facility.</w:t>
      </w:r>
      <w:r w:rsidR="004C69F2" w:rsidRPr="00B62337">
        <w:rPr>
          <w:rStyle w:val="EndnoteReference"/>
        </w:rPr>
        <w:endnoteReference w:id="43"/>
      </w:r>
    </w:p>
    <w:p w:rsidR="00AB074D" w:rsidRPr="00B62337" w:rsidRDefault="00AB074D" w:rsidP="00AB074D">
      <w:pPr>
        <w:jc w:val="both"/>
      </w:pPr>
    </w:p>
    <w:p w:rsidR="00AB074D" w:rsidRPr="00B62337" w:rsidRDefault="00AB074D" w:rsidP="00AB074D">
      <w:pPr>
        <w:jc w:val="both"/>
      </w:pPr>
      <w:r w:rsidRPr="00B62337">
        <w:t xml:space="preserve">Senate Bill 245 </w:t>
      </w:r>
      <w:r w:rsidR="000F0769">
        <w:t xml:space="preserve">(Chapter 184, </w:t>
      </w:r>
      <w:r w:rsidR="000F0769" w:rsidRPr="000F0769">
        <w:rPr>
          <w:i/>
        </w:rPr>
        <w:t>Statutes of Nevada 2011</w:t>
      </w:r>
      <w:r w:rsidR="000F0769">
        <w:t xml:space="preserve">) </w:t>
      </w:r>
      <w:r w:rsidRPr="00B62337">
        <w:t xml:space="preserve">created the Statewide Alert System for the Safe Return of Missing </w:t>
      </w:r>
      <w:r w:rsidR="00052699">
        <w:t xml:space="preserve">Endangered </w:t>
      </w:r>
      <w:r w:rsidRPr="00B62337">
        <w:t>Older Persons</w:t>
      </w:r>
      <w:r w:rsidR="000F0769">
        <w:t>,</w:t>
      </w:r>
      <w:r w:rsidRPr="00B62337">
        <w:t xml:space="preserve"> a type of “Silver Alert” program that has been successfully implemented in 28 other states.  It is the goal of this program to quickly and safely return a wandering individual to his or her home.  </w:t>
      </w:r>
    </w:p>
    <w:p w:rsidR="00AB074D" w:rsidRPr="00B62337" w:rsidRDefault="00AB074D" w:rsidP="00AB074D">
      <w:pPr>
        <w:jc w:val="both"/>
      </w:pPr>
    </w:p>
    <w:p w:rsidR="00AB074D" w:rsidRPr="00B62337" w:rsidRDefault="00AB074D" w:rsidP="00AB074D">
      <w:pPr>
        <w:jc w:val="both"/>
      </w:pPr>
      <w:r w:rsidRPr="00B62337">
        <w:t>Another example of a safety program to help in situations of wandering is the MedicAlert</w:t>
      </w:r>
      <w:r w:rsidR="00C53EC3">
        <w:t>® +</w:t>
      </w:r>
      <w:r w:rsidR="00434E72">
        <w:t> Alzheimer’s Association</w:t>
      </w:r>
      <w:r w:rsidR="00C53EC3">
        <w:t> </w:t>
      </w:r>
      <w:r w:rsidRPr="00B62337">
        <w:t>Safe Return</w:t>
      </w:r>
      <w:r w:rsidR="00C53EC3">
        <w:t>® bracelet</w:t>
      </w:r>
      <w:r w:rsidR="008330D3">
        <w:t xml:space="preserve"> program.  </w:t>
      </w:r>
      <w:r w:rsidRPr="00B62337">
        <w:t>This program provides a bracelet with identifying and contact information</w:t>
      </w:r>
      <w:r w:rsidR="004B712A">
        <w:t>, which</w:t>
      </w:r>
      <w:r w:rsidRPr="00B62337">
        <w:t xml:space="preserve"> </w:t>
      </w:r>
      <w:r w:rsidR="008D156B">
        <w:t>can be worn at all times by the </w:t>
      </w:r>
      <w:r w:rsidRPr="00B62337">
        <w:t>person with dementia</w:t>
      </w:r>
      <w:r w:rsidR="004B712A">
        <w:t>.  The bracelet</w:t>
      </w:r>
      <w:r w:rsidRPr="00B62337">
        <w:t xml:space="preserve"> helps identify the</w:t>
      </w:r>
      <w:r w:rsidR="004B712A">
        <w:t xml:space="preserve"> person should he or she </w:t>
      </w:r>
      <w:r w:rsidRPr="00B62337">
        <w:t>become lost or need assistance.  In Nevada, the Alzheimer’s Association has reported that this program has been underutilized.</w:t>
      </w:r>
      <w:r w:rsidR="004C69F2" w:rsidRPr="00B62337">
        <w:rPr>
          <w:rStyle w:val="EndnoteReference"/>
        </w:rPr>
        <w:endnoteReference w:id="44"/>
      </w:r>
    </w:p>
    <w:p w:rsidR="00AB074D" w:rsidRPr="00B62337" w:rsidRDefault="00AB074D" w:rsidP="00AB074D">
      <w:pPr>
        <w:jc w:val="both"/>
      </w:pPr>
    </w:p>
    <w:p w:rsidR="00AB074D" w:rsidRPr="00B62337" w:rsidRDefault="00AB074D" w:rsidP="00CD5FD7">
      <w:pPr>
        <w:keepNext/>
        <w:jc w:val="both"/>
        <w:rPr>
          <w:u w:val="single"/>
        </w:rPr>
      </w:pPr>
      <w:r w:rsidRPr="00B62337">
        <w:rPr>
          <w:u w:val="single"/>
        </w:rPr>
        <w:t>Driving</w:t>
      </w:r>
    </w:p>
    <w:p w:rsidR="00AB074D" w:rsidRPr="00B62337" w:rsidRDefault="00AB074D" w:rsidP="00CD5FD7">
      <w:pPr>
        <w:keepNext/>
        <w:jc w:val="both"/>
        <w:rPr>
          <w:u w:val="single"/>
        </w:rPr>
      </w:pPr>
    </w:p>
    <w:p w:rsidR="00C756E5" w:rsidRDefault="00AB074D" w:rsidP="00CD5FD7">
      <w:pPr>
        <w:keepNext/>
        <w:jc w:val="both"/>
      </w:pPr>
      <w:r w:rsidRPr="00B62337">
        <w:t xml:space="preserve">Driving is a </w:t>
      </w:r>
      <w:r w:rsidR="00C756E5">
        <w:t xml:space="preserve">major </w:t>
      </w:r>
      <w:r w:rsidRPr="00B62337">
        <w:t xml:space="preserve">public safety issue for persons with Alzheimer’s </w:t>
      </w:r>
      <w:r w:rsidR="0026300B">
        <w:t>d</w:t>
      </w:r>
      <w:r w:rsidRPr="00B62337">
        <w:t xml:space="preserve">isease and </w:t>
      </w:r>
      <w:r w:rsidR="00D97E11">
        <w:t>related disorders</w:t>
      </w:r>
      <w:r w:rsidRPr="00B62337">
        <w:t>.  Driving is an important part of independence and identity for many people, and individuals often choose to continue driving even after receiving a diagnosis of dementia.</w:t>
      </w:r>
      <w:r w:rsidR="004C69F2" w:rsidRPr="00B62337">
        <w:rPr>
          <w:rStyle w:val="EndnoteReference"/>
        </w:rPr>
        <w:endnoteReference w:id="45"/>
      </w:r>
      <w:r w:rsidRPr="00B62337">
        <w:t xml:space="preserve">  Individuals may also feel that they need to continue driving out of necessity, as public transit or other transportation options are very limited in Nevada.  Because of the visual, spatial, motor coordination, planning, and memory deficits inherent in dementia, driving is very dangerous.  The Department of Motor Vehicles (DMV) may revoke an individual’s license if </w:t>
      </w:r>
      <w:r w:rsidR="004B712A">
        <w:t>he or she</w:t>
      </w:r>
      <w:r w:rsidRPr="00B62337">
        <w:t xml:space="preserve"> fail</w:t>
      </w:r>
      <w:r w:rsidR="004B712A">
        <w:t>s</w:t>
      </w:r>
      <w:r w:rsidRPr="00B62337">
        <w:t xml:space="preserve"> a paper or driving test.  Physicians or friends m</w:t>
      </w:r>
      <w:r w:rsidR="00052699">
        <w:t>ay make referrals to the DMV if </w:t>
      </w:r>
      <w:r w:rsidRPr="00B62337">
        <w:t xml:space="preserve">they are </w:t>
      </w:r>
      <w:r w:rsidR="00A02529">
        <w:t>concerned</w:t>
      </w:r>
      <w:r w:rsidR="00A02529" w:rsidRPr="00B62337">
        <w:t xml:space="preserve"> </w:t>
      </w:r>
      <w:r w:rsidRPr="00B62337">
        <w:t>about someone</w:t>
      </w:r>
      <w:r w:rsidR="0017712C">
        <w:t xml:space="preserve">’s </w:t>
      </w:r>
      <w:r w:rsidR="0017712C">
        <w:lastRenderedPageBreak/>
        <w:t>driving abilitie</w:t>
      </w:r>
      <w:r w:rsidR="00AE7348">
        <w:t xml:space="preserve">s.  However, </w:t>
      </w:r>
      <w:r w:rsidRPr="00B62337">
        <w:t xml:space="preserve">public safety could be greatly improved if efforts were taken to ensure that individuals with dementia </w:t>
      </w:r>
      <w:r w:rsidR="00C756E5">
        <w:t>are more reliably tested for driving safety and given assistance i</w:t>
      </w:r>
      <w:r w:rsidR="00AE7348">
        <w:t>n securing alternative modes of </w:t>
      </w:r>
      <w:r w:rsidR="00C756E5">
        <w:t>transportation.</w:t>
      </w:r>
    </w:p>
    <w:p w:rsidR="00AB074D" w:rsidRPr="00B62337" w:rsidRDefault="00AB074D" w:rsidP="00AB074D">
      <w:pPr>
        <w:jc w:val="both"/>
      </w:pPr>
    </w:p>
    <w:p w:rsidR="00651583" w:rsidRPr="00651583" w:rsidRDefault="00AB074D" w:rsidP="00A047C6">
      <w:pPr>
        <w:jc w:val="both"/>
        <w:rPr>
          <w:rFonts w:eastAsia="Cambria"/>
        </w:rPr>
      </w:pPr>
      <w:r w:rsidRPr="00651583">
        <w:rPr>
          <w:b/>
        </w:rPr>
        <w:t>Recommendation</w:t>
      </w:r>
      <w:r w:rsidR="008A0A94">
        <w:rPr>
          <w:b/>
        </w:rPr>
        <w:t xml:space="preserve"> </w:t>
      </w:r>
      <w:r w:rsidR="00956CD9">
        <w:rPr>
          <w:b/>
        </w:rPr>
        <w:t>19</w:t>
      </w:r>
      <w:r w:rsidRPr="00651583">
        <w:rPr>
          <w:b/>
        </w:rPr>
        <w:t>:</w:t>
      </w:r>
      <w:r w:rsidRPr="00B62337">
        <w:t xml:space="preserve"> </w:t>
      </w:r>
      <w:r w:rsidR="000F0769">
        <w:t xml:space="preserve"> </w:t>
      </w:r>
      <w:r w:rsidR="00651583">
        <w:t>Collaborate with</w:t>
      </w:r>
      <w:r w:rsidR="00651583" w:rsidRPr="00B62337">
        <w:t xml:space="preserve"> </w:t>
      </w:r>
      <w:r w:rsidR="00651583">
        <w:t xml:space="preserve">the </w:t>
      </w:r>
      <w:r w:rsidR="00651583" w:rsidRPr="00B62337">
        <w:t xml:space="preserve">business </w:t>
      </w:r>
      <w:r w:rsidR="00651583">
        <w:t>community to</w:t>
      </w:r>
      <w:r w:rsidR="00651583" w:rsidRPr="00B62337">
        <w:t xml:space="preserve"> create employee assistance programs that include education and training for caregivers.  Develop partnerships with other organizations that a</w:t>
      </w:r>
      <w:r w:rsidR="00651583">
        <w:t xml:space="preserve">re also affected by </w:t>
      </w:r>
      <w:r w:rsidR="00651583" w:rsidRPr="00B62337">
        <w:t xml:space="preserve">Alzheimer’s </w:t>
      </w:r>
      <w:r w:rsidR="00651583">
        <w:t>d</w:t>
      </w:r>
      <w:r w:rsidR="00651583" w:rsidRPr="00B62337">
        <w:t xml:space="preserve">isease and </w:t>
      </w:r>
      <w:r w:rsidR="00B427C6">
        <w:t>related disorders</w:t>
      </w:r>
      <w:r w:rsidR="00DA5BED">
        <w:t>,</w:t>
      </w:r>
      <w:r w:rsidR="00651583">
        <w:t xml:space="preserve"> such as diabetes, stroke, and heart organizations,</w:t>
      </w:r>
      <w:r w:rsidR="00651583" w:rsidRPr="00B62337">
        <w:t xml:space="preserve"> to help </w:t>
      </w:r>
      <w:r w:rsidR="00651583">
        <w:t>promote information about serv</w:t>
      </w:r>
      <w:r w:rsidR="00651583" w:rsidRPr="00B62337">
        <w:t xml:space="preserve">ices and care </w:t>
      </w:r>
      <w:r w:rsidR="00651583">
        <w:t>for those who have symptoms of dementia.</w:t>
      </w:r>
      <w:r w:rsidR="00651583" w:rsidRPr="00B62337">
        <w:t xml:space="preserve"> </w:t>
      </w:r>
    </w:p>
    <w:p w:rsidR="00FC0931" w:rsidRPr="00B62337" w:rsidRDefault="00FC0931" w:rsidP="00A047C6">
      <w:pPr>
        <w:pStyle w:val="ListParagraph"/>
        <w:spacing w:after="200"/>
        <w:ind w:left="0"/>
        <w:jc w:val="both"/>
      </w:pPr>
    </w:p>
    <w:p w:rsidR="00AB074D" w:rsidRPr="00B62337" w:rsidRDefault="00AB074D" w:rsidP="00AB074D">
      <w:pPr>
        <w:pStyle w:val="ListParagraph"/>
        <w:ind w:left="0"/>
        <w:jc w:val="both"/>
      </w:pPr>
      <w:r w:rsidRPr="00B62337">
        <w:rPr>
          <w:b/>
        </w:rPr>
        <w:t>Indicators:</w:t>
      </w:r>
      <w:r w:rsidRPr="00B62337">
        <w:t xml:space="preserve"> </w:t>
      </w:r>
      <w:r w:rsidR="002A0DAE">
        <w:t xml:space="preserve"> </w:t>
      </w:r>
      <w:r w:rsidRPr="00B62337">
        <w:t>Number of employee assistance programs with caregiver education and training; number of partnerships with other dementia-related organizations.</w:t>
      </w:r>
    </w:p>
    <w:p w:rsidR="00FC0931" w:rsidRPr="00B62337" w:rsidRDefault="00FC0931" w:rsidP="00AB074D">
      <w:pPr>
        <w:pStyle w:val="ListParagraph"/>
        <w:ind w:left="0"/>
        <w:jc w:val="both"/>
      </w:pPr>
    </w:p>
    <w:p w:rsidR="00AB074D" w:rsidRPr="00B62337" w:rsidRDefault="00AB074D" w:rsidP="00AB074D">
      <w:pPr>
        <w:pStyle w:val="ListParagraph"/>
        <w:ind w:left="0"/>
        <w:jc w:val="both"/>
        <w:rPr>
          <w:b/>
        </w:rPr>
      </w:pPr>
      <w:r w:rsidRPr="00B62337">
        <w:rPr>
          <w:b/>
        </w:rPr>
        <w:t xml:space="preserve">Potential </w:t>
      </w:r>
      <w:r w:rsidR="001C6174" w:rsidRPr="00B62337">
        <w:rPr>
          <w:b/>
        </w:rPr>
        <w:t>Funding:</w:t>
      </w:r>
      <w:r w:rsidRPr="00B62337">
        <w:rPr>
          <w:b/>
        </w:rPr>
        <w:t xml:space="preserve"> </w:t>
      </w:r>
      <w:r w:rsidR="002A0DAE">
        <w:rPr>
          <w:b/>
        </w:rPr>
        <w:t xml:space="preserve"> </w:t>
      </w:r>
      <w:r w:rsidR="00191CC4" w:rsidRPr="002A0DAE">
        <w:t>Employers</w:t>
      </w:r>
      <w:r w:rsidR="00651583">
        <w:t xml:space="preserve"> and other potential grant funding sources.</w:t>
      </w:r>
    </w:p>
    <w:p w:rsidR="00AB074D" w:rsidRPr="00B62337" w:rsidRDefault="00AB074D" w:rsidP="00AB074D">
      <w:pPr>
        <w:jc w:val="both"/>
        <w:rPr>
          <w:b/>
        </w:rPr>
      </w:pPr>
    </w:p>
    <w:p w:rsidR="004155CA" w:rsidRPr="004155CA" w:rsidRDefault="00AB074D" w:rsidP="00A047C6">
      <w:pPr>
        <w:jc w:val="both"/>
        <w:rPr>
          <w:rFonts w:eastAsia="Cambria"/>
        </w:rPr>
      </w:pPr>
      <w:r w:rsidRPr="00A047C6">
        <w:rPr>
          <w:b/>
          <w:spacing w:val="2"/>
        </w:rPr>
        <w:t>Recommendation</w:t>
      </w:r>
      <w:r w:rsidR="00956CD9">
        <w:rPr>
          <w:b/>
          <w:spacing w:val="2"/>
        </w:rPr>
        <w:t xml:space="preserve"> 20</w:t>
      </w:r>
      <w:r w:rsidRPr="00A047C6">
        <w:rPr>
          <w:b/>
          <w:spacing w:val="2"/>
        </w:rPr>
        <w:t>:</w:t>
      </w:r>
      <w:r w:rsidRPr="00A047C6">
        <w:rPr>
          <w:spacing w:val="2"/>
        </w:rPr>
        <w:t xml:space="preserve">  </w:t>
      </w:r>
      <w:r w:rsidR="004155CA" w:rsidRPr="00A047C6">
        <w:rPr>
          <w:spacing w:val="2"/>
        </w:rPr>
        <w:t xml:space="preserve">Foster the development of three awareness campaigns to provide information about the earliest signs of dementia and to rebuke the stigma of Alzheimer’s disease and </w:t>
      </w:r>
      <w:r w:rsidR="00B427C6">
        <w:rPr>
          <w:spacing w:val="2"/>
        </w:rPr>
        <w:t>related disorders</w:t>
      </w:r>
      <w:r w:rsidR="004155CA" w:rsidRPr="00A047C6">
        <w:rPr>
          <w:spacing w:val="2"/>
        </w:rPr>
        <w:t xml:space="preserve">.  </w:t>
      </w:r>
      <w:r w:rsidR="004155CA">
        <w:t xml:space="preserve">The campaigns will include updates </w:t>
      </w:r>
      <w:r w:rsidR="004155CA" w:rsidRPr="00B62337">
        <w:t>about current research and prevention trials that can delay progression</w:t>
      </w:r>
      <w:r w:rsidR="004155CA">
        <w:t xml:space="preserve">, as well as information about how </w:t>
      </w:r>
      <w:r w:rsidR="004155CA" w:rsidRPr="00B62337">
        <w:t xml:space="preserve">earlier diagnosis and intervention can lead to a more productive and valuable life. </w:t>
      </w:r>
      <w:r w:rsidR="004155CA">
        <w:t xml:space="preserve"> The campaigns will be designed to help citizens feel more supported, hopeful</w:t>
      </w:r>
      <w:r w:rsidR="003548FF">
        <w:t>,</w:t>
      </w:r>
      <w:r w:rsidR="004155CA">
        <w:t xml:space="preserve"> and likely to access available services.  The campaigns will be promoted</w:t>
      </w:r>
      <w:r w:rsidR="004155CA" w:rsidRPr="00B62337">
        <w:t xml:space="preserve"> through television and radio advertisements, public</w:t>
      </w:r>
      <w:r w:rsidR="00EF33CF">
        <w:t xml:space="preserve"> </w:t>
      </w:r>
      <w:r w:rsidR="004155CA" w:rsidRPr="00B62337">
        <w:t xml:space="preserve">service announcements, </w:t>
      </w:r>
      <w:r w:rsidR="004155CA">
        <w:t xml:space="preserve">broadcast and print interviews, as well as </w:t>
      </w:r>
      <w:r w:rsidR="004155CA" w:rsidRPr="00B62337">
        <w:t xml:space="preserve">articles in newspapers and magazines, website, and Internet </w:t>
      </w:r>
      <w:r w:rsidR="004155CA">
        <w:t>venues</w:t>
      </w:r>
      <w:r w:rsidR="004155CA" w:rsidRPr="00B62337">
        <w:t>.</w:t>
      </w:r>
      <w:r w:rsidR="004155CA">
        <w:t xml:space="preserve">  The respective target audiences for each public awareness campaign are: </w:t>
      </w:r>
    </w:p>
    <w:p w:rsidR="004155CA" w:rsidRDefault="004155CA" w:rsidP="004155CA">
      <w:pPr>
        <w:pStyle w:val="ListParagraph"/>
        <w:ind w:left="1080"/>
        <w:jc w:val="both"/>
        <w:rPr>
          <w:rFonts w:eastAsia="Cambria"/>
        </w:rPr>
      </w:pPr>
    </w:p>
    <w:p w:rsidR="004155CA" w:rsidRDefault="004155CA" w:rsidP="004155CA">
      <w:pPr>
        <w:pStyle w:val="ListParagraph"/>
        <w:numPr>
          <w:ilvl w:val="0"/>
          <w:numId w:val="20"/>
        </w:numPr>
        <w:jc w:val="both"/>
        <w:rPr>
          <w:rFonts w:eastAsia="Cambria"/>
        </w:rPr>
      </w:pPr>
      <w:r>
        <w:rPr>
          <w:spacing w:val="2"/>
        </w:rPr>
        <w:t>A</w:t>
      </w:r>
      <w:r w:rsidRPr="00A730F9">
        <w:rPr>
          <w:spacing w:val="2"/>
        </w:rPr>
        <w:t>llied health professionals, bankers, emergency first responders, financial planners, lawyers, and other</w:t>
      </w:r>
      <w:r>
        <w:rPr>
          <w:spacing w:val="2"/>
        </w:rPr>
        <w:t xml:space="preserve"> professionals who may have contact with persons with dementia</w:t>
      </w:r>
      <w:r w:rsidRPr="00A730F9">
        <w:rPr>
          <w:spacing w:val="2"/>
        </w:rPr>
        <w:t xml:space="preserve">. </w:t>
      </w:r>
    </w:p>
    <w:p w:rsidR="004155CA" w:rsidRDefault="004155CA" w:rsidP="004155CA">
      <w:pPr>
        <w:pStyle w:val="ListParagraph"/>
        <w:ind w:left="1080"/>
        <w:jc w:val="both"/>
        <w:rPr>
          <w:rFonts w:eastAsia="Cambria"/>
        </w:rPr>
      </w:pPr>
      <w:r w:rsidRPr="00A730F9">
        <w:rPr>
          <w:spacing w:val="2"/>
        </w:rPr>
        <w:t xml:space="preserve"> </w:t>
      </w:r>
    </w:p>
    <w:p w:rsidR="004155CA" w:rsidRDefault="004155CA" w:rsidP="004155CA">
      <w:pPr>
        <w:pStyle w:val="ListParagraph"/>
        <w:numPr>
          <w:ilvl w:val="0"/>
          <w:numId w:val="20"/>
        </w:numPr>
        <w:jc w:val="both"/>
        <w:rPr>
          <w:rFonts w:eastAsia="Cambria"/>
        </w:rPr>
      </w:pPr>
      <w:r>
        <w:rPr>
          <w:rFonts w:eastAsia="Cambria"/>
        </w:rPr>
        <w:t>The general public.</w:t>
      </w:r>
    </w:p>
    <w:p w:rsidR="004155CA" w:rsidRDefault="004155CA" w:rsidP="004155CA">
      <w:pPr>
        <w:jc w:val="both"/>
        <w:rPr>
          <w:rFonts w:eastAsia="Cambria"/>
        </w:rPr>
      </w:pPr>
    </w:p>
    <w:p w:rsidR="004155CA" w:rsidRDefault="004155CA" w:rsidP="004155CA">
      <w:pPr>
        <w:pStyle w:val="ListParagraph"/>
        <w:numPr>
          <w:ilvl w:val="0"/>
          <w:numId w:val="20"/>
        </w:numPr>
        <w:jc w:val="both"/>
        <w:rPr>
          <w:rFonts w:eastAsia="Cambria"/>
        </w:rPr>
      </w:pPr>
      <w:r>
        <w:rPr>
          <w:spacing w:val="2"/>
        </w:rPr>
        <w:t xml:space="preserve">Caregivers and family members of persons with dementia.  </w:t>
      </w:r>
      <w:r>
        <w:t xml:space="preserve">This campaign will focus on ways </w:t>
      </w:r>
      <w:r w:rsidRPr="00B62337">
        <w:t xml:space="preserve">to help alleviate the fear, stress, and </w:t>
      </w:r>
      <w:r>
        <w:t>stigma surrounding</w:t>
      </w:r>
      <w:r w:rsidRPr="00B62337">
        <w:t xml:space="preserve"> </w:t>
      </w:r>
      <w:r>
        <w:t xml:space="preserve">dementia </w:t>
      </w:r>
      <w:r w:rsidRPr="00B62337">
        <w:t>and the sense of isolation and aloneness that often accompanies the disease</w:t>
      </w:r>
      <w:r w:rsidR="00891430">
        <w:t>.  This </w:t>
      </w:r>
      <w:r>
        <w:t xml:space="preserve">includes </w:t>
      </w:r>
      <w:r w:rsidRPr="00B62337">
        <w:t xml:space="preserve">educating and informing caregivers about support group opportunities </w:t>
      </w:r>
      <w:r>
        <w:t xml:space="preserve">and other available supportive services </w:t>
      </w:r>
      <w:r w:rsidRPr="00B62337">
        <w:t>that will help</w:t>
      </w:r>
      <w:r>
        <w:t xml:space="preserve"> them care for themselves and their family member</w:t>
      </w:r>
      <w:r w:rsidRPr="00B62337">
        <w:t xml:space="preserve">.  </w:t>
      </w:r>
    </w:p>
    <w:p w:rsidR="00FC0931" w:rsidRPr="00B62337" w:rsidRDefault="00FC0931" w:rsidP="00AB074D">
      <w:pPr>
        <w:pStyle w:val="ListParagraph"/>
        <w:ind w:left="0"/>
        <w:jc w:val="both"/>
      </w:pPr>
    </w:p>
    <w:p w:rsidR="00AB074D" w:rsidRPr="00B62337" w:rsidRDefault="00AB074D" w:rsidP="00AB074D">
      <w:pPr>
        <w:pStyle w:val="ListParagraph"/>
        <w:ind w:left="0"/>
        <w:jc w:val="both"/>
      </w:pPr>
      <w:r w:rsidRPr="00B62337">
        <w:rPr>
          <w:b/>
        </w:rPr>
        <w:t>Indicators:</w:t>
      </w:r>
      <w:r w:rsidRPr="00B62337">
        <w:t xml:space="preserve"> </w:t>
      </w:r>
      <w:r w:rsidR="00E06A0D">
        <w:t xml:space="preserve"> </w:t>
      </w:r>
      <w:r w:rsidRPr="00B62337">
        <w:t xml:space="preserve">Number of </w:t>
      </w:r>
      <w:r w:rsidR="004D0C8D">
        <w:t xml:space="preserve">media </w:t>
      </w:r>
      <w:r w:rsidRPr="00B62337">
        <w:t>advertisements</w:t>
      </w:r>
      <w:r w:rsidR="004D0C8D">
        <w:t xml:space="preserve">, </w:t>
      </w:r>
      <w:r w:rsidRPr="00B62337">
        <w:t>announcements</w:t>
      </w:r>
      <w:r w:rsidR="004D0C8D">
        <w:t>, interviews, and stories</w:t>
      </w:r>
      <w:r w:rsidRPr="00B62337">
        <w:t>; number of professionals and professional organizations contacted; number of visits to the Nevada ADRC website.</w:t>
      </w:r>
    </w:p>
    <w:p w:rsidR="00FC0931" w:rsidRPr="00B62337" w:rsidRDefault="00FC0931" w:rsidP="00AB074D">
      <w:pPr>
        <w:pStyle w:val="ListParagraph"/>
        <w:ind w:left="0"/>
        <w:jc w:val="both"/>
      </w:pPr>
    </w:p>
    <w:p w:rsidR="00AB074D" w:rsidRPr="00B62337" w:rsidRDefault="00AB074D" w:rsidP="00AB074D">
      <w:pPr>
        <w:pStyle w:val="ListParagraph"/>
        <w:ind w:left="0"/>
        <w:jc w:val="both"/>
      </w:pPr>
      <w:r w:rsidRPr="00B62337">
        <w:rPr>
          <w:b/>
        </w:rPr>
        <w:t xml:space="preserve">Potential </w:t>
      </w:r>
      <w:r w:rsidR="001C6174" w:rsidRPr="00B62337">
        <w:rPr>
          <w:b/>
        </w:rPr>
        <w:t>Funding:</w:t>
      </w:r>
      <w:r w:rsidRPr="00B62337">
        <w:rPr>
          <w:b/>
        </w:rPr>
        <w:t xml:space="preserve"> </w:t>
      </w:r>
      <w:r w:rsidR="00E06A0D">
        <w:rPr>
          <w:b/>
        </w:rPr>
        <w:t xml:space="preserve"> </w:t>
      </w:r>
      <w:r w:rsidR="00191CC4" w:rsidRPr="00E06A0D">
        <w:t xml:space="preserve">Volunteers from </w:t>
      </w:r>
      <w:r w:rsidR="00891430">
        <w:t xml:space="preserve">the </w:t>
      </w:r>
      <w:r w:rsidR="00191CC4" w:rsidRPr="00E06A0D">
        <w:t>Task Force</w:t>
      </w:r>
      <w:r w:rsidR="006E0B18">
        <w:t>;</w:t>
      </w:r>
      <w:r w:rsidR="00191CC4" w:rsidRPr="00E06A0D">
        <w:t xml:space="preserve"> Alzheimer’s Association</w:t>
      </w:r>
      <w:r w:rsidR="006E0B18">
        <w:t>;</w:t>
      </w:r>
      <w:r w:rsidR="00191CC4" w:rsidRPr="00E06A0D">
        <w:t xml:space="preserve"> professional licensing boards and organizations</w:t>
      </w:r>
      <w:r w:rsidR="006E0B18">
        <w:t>;</w:t>
      </w:r>
      <w:r w:rsidR="00ED7AAA">
        <w:t xml:space="preserve"> Nevada Broadcaster’s Association</w:t>
      </w:r>
      <w:r w:rsidR="006E0B18">
        <w:t>;</w:t>
      </w:r>
      <w:r w:rsidR="00FC18BE">
        <w:t xml:space="preserve"> </w:t>
      </w:r>
      <w:r w:rsidR="004155CA">
        <w:t>Nevada ADSD</w:t>
      </w:r>
      <w:r w:rsidR="006E0B18">
        <w:t>;</w:t>
      </w:r>
      <w:r w:rsidR="004155CA">
        <w:t xml:space="preserve"> </w:t>
      </w:r>
      <w:r w:rsidR="00052699">
        <w:t>other </w:t>
      </w:r>
      <w:r w:rsidR="00FC18BE">
        <w:t>potential grant funding sources</w:t>
      </w:r>
      <w:r w:rsidR="00E06A0D">
        <w:t>.</w:t>
      </w:r>
    </w:p>
    <w:p w:rsidR="0070389A" w:rsidRPr="00B62337" w:rsidRDefault="0070389A" w:rsidP="007B11AA">
      <w:pPr>
        <w:jc w:val="both"/>
      </w:pPr>
    </w:p>
    <w:p w:rsidR="009816EF" w:rsidRPr="00B62337" w:rsidRDefault="00B30A11" w:rsidP="00BA0B61">
      <w:pPr>
        <w:rPr>
          <w:b/>
          <w:bCs/>
          <w:u w:val="single"/>
        </w:rPr>
      </w:pPr>
      <w:r>
        <w:rPr>
          <w:b/>
          <w:bCs/>
          <w:u w:val="single"/>
        </w:rPr>
        <w:br w:type="page"/>
      </w:r>
      <w:r w:rsidR="009816EF" w:rsidRPr="00B62337">
        <w:rPr>
          <w:b/>
          <w:bCs/>
          <w:u w:val="single"/>
        </w:rPr>
        <w:lastRenderedPageBreak/>
        <w:t>Conclusion</w:t>
      </w:r>
    </w:p>
    <w:p w:rsidR="009816EF" w:rsidRPr="00E61F5B" w:rsidRDefault="009816EF" w:rsidP="007B11AA">
      <w:pPr>
        <w:jc w:val="both"/>
        <w:rPr>
          <w:sz w:val="22"/>
          <w:szCs w:val="22"/>
        </w:rPr>
      </w:pPr>
    </w:p>
    <w:p w:rsidR="009816EF" w:rsidRPr="00B62337" w:rsidRDefault="009816EF" w:rsidP="007B11AA">
      <w:pPr>
        <w:jc w:val="both"/>
      </w:pPr>
      <w:r w:rsidRPr="00B62337">
        <w:t xml:space="preserve">In conclusion, the Task Force views this plan as a living document.  It is important </w:t>
      </w:r>
      <w:r w:rsidR="00FA786C">
        <w:t xml:space="preserve">to continue the </w:t>
      </w:r>
      <w:r w:rsidRPr="00B62337">
        <w:t xml:space="preserve">discussion </w:t>
      </w:r>
      <w:r w:rsidR="00FA786C">
        <w:t>and monitor the implementation of the rec</w:t>
      </w:r>
      <w:r w:rsidRPr="00B62337">
        <w:t>ommendations</w:t>
      </w:r>
      <w:r w:rsidR="00FA786C">
        <w:t>.</w:t>
      </w:r>
    </w:p>
    <w:p w:rsidR="009816EF" w:rsidRPr="00B62337" w:rsidRDefault="009816EF" w:rsidP="007B11AA">
      <w:pPr>
        <w:jc w:val="both"/>
      </w:pPr>
    </w:p>
    <w:p w:rsidR="009816EF" w:rsidRPr="00B62337" w:rsidRDefault="009816EF" w:rsidP="007B11AA">
      <w:pPr>
        <w:ind w:left="720" w:right="720"/>
        <w:jc w:val="both"/>
        <w:rPr>
          <w:i/>
          <w:iCs/>
        </w:rPr>
      </w:pPr>
      <w:r w:rsidRPr="00B62337">
        <w:rPr>
          <w:i/>
          <w:iCs/>
        </w:rPr>
        <w:t>I married the love of my life a few years ago and we moved to Reno.  I started noticing several things going on and we had to fight, fight, fight to get someone to pay attention to it.  I had to go back to work because he lost his job, and we couldn’t get any information about what was happening.  We lost the only friends we had in Reno because the stigma is terrible.  It doesn’t matter who you are—this disease can happen to you.  My husband continues to decline and now I had to leave my work because I developed pneumonia and it has gone on for more than a month.  This is a disease that can happen to anyone.</w:t>
      </w:r>
    </w:p>
    <w:p w:rsidR="009816EF" w:rsidRPr="00B62337" w:rsidRDefault="00F62C3F" w:rsidP="007B11AA">
      <w:pPr>
        <w:ind w:left="720" w:right="720"/>
        <w:jc w:val="right"/>
      </w:pPr>
      <w:r w:rsidRPr="00B62337">
        <w:t>–</w:t>
      </w:r>
      <w:r w:rsidR="009816EF" w:rsidRPr="00B62337">
        <w:t>Melissa, primary caregiver for her husband</w:t>
      </w:r>
    </w:p>
    <w:p w:rsidR="009816EF" w:rsidRPr="00B62337" w:rsidRDefault="009816EF"/>
    <w:sectPr w:rsidR="009816EF" w:rsidRPr="00B62337" w:rsidSect="00CD5FD7">
      <w:footerReference w:type="default" r:id="rId34"/>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woodbury" w:date="2014-11-12T15:46:00Z" w:initials="s">
    <w:p w:rsidR="00485385" w:rsidRDefault="00485385">
      <w:pPr>
        <w:pStyle w:val="CommentText"/>
      </w:pPr>
      <w:r>
        <w:rPr>
          <w:rStyle w:val="CommentReference"/>
        </w:rPr>
        <w:annotationRef/>
      </w:r>
      <w:r>
        <w:t>Dr. Fischer commented, “Behaviorally challenged  label</w:t>
      </w:r>
      <w:r w:rsidR="001A2D12">
        <w:t>”</w:t>
      </w:r>
      <w:r>
        <w:t xml:space="preserve"> is potentially stigmatizing.  Given that challenging behaviors are preventable i</w:t>
      </w:r>
      <w:r w:rsidR="001A2D12">
        <w:t>n the large majority of cases, she</w:t>
      </w:r>
      <w:r>
        <w:t xml:space="preserve"> think</w:t>
      </w:r>
      <w:r w:rsidR="001A2D12">
        <w:t>s</w:t>
      </w:r>
      <w:r>
        <w:t xml:space="preserve"> it’s inappropriate for anyone to receive the l</w:t>
      </w:r>
      <w:r w:rsidR="001A2D12">
        <w:t>abel.</w:t>
      </w:r>
    </w:p>
  </w:comment>
  <w:comment w:id="1" w:author="swoodbury" w:date="2014-11-12T15:20:00Z" w:initials="s">
    <w:p w:rsidR="00485385" w:rsidRDefault="00485385" w:rsidP="00A3551C">
      <w:pPr>
        <w:pStyle w:val="ListParagraph"/>
        <w:numPr>
          <w:ilvl w:val="0"/>
          <w:numId w:val="21"/>
        </w:numPr>
        <w:spacing w:after="200" w:line="276" w:lineRule="auto"/>
        <w:jc w:val="both"/>
        <w:rPr>
          <w:b/>
        </w:rPr>
      </w:pPr>
      <w:r>
        <w:rPr>
          <w:rStyle w:val="CommentReference"/>
        </w:rPr>
        <w:annotationRef/>
      </w:r>
      <w:r>
        <w:t>Ms. Simons suggested that the survey to providers could be done by using Survey Monkey and putting together a brief survey which may include questions such as:</w:t>
      </w:r>
    </w:p>
    <w:p w:rsidR="00485385" w:rsidRDefault="00485385" w:rsidP="00A3551C">
      <w:pPr>
        <w:pStyle w:val="ListParagraph"/>
        <w:numPr>
          <w:ilvl w:val="0"/>
          <w:numId w:val="22"/>
        </w:numPr>
        <w:spacing w:after="200" w:line="276" w:lineRule="auto"/>
        <w:jc w:val="both"/>
      </w:pPr>
      <w:r>
        <w:t>What would entice them to provide care for patients with Dementia/Alzheimer’s?</w:t>
      </w:r>
    </w:p>
    <w:p w:rsidR="00485385" w:rsidRDefault="00485385" w:rsidP="00A3551C">
      <w:pPr>
        <w:pStyle w:val="ListParagraph"/>
        <w:numPr>
          <w:ilvl w:val="0"/>
          <w:numId w:val="22"/>
        </w:numPr>
        <w:spacing w:after="200" w:line="276" w:lineRule="auto"/>
        <w:jc w:val="both"/>
      </w:pPr>
      <w:r>
        <w:t>What are the barriers for providing services to patients with Dementia/Alzheimer’s?</w:t>
      </w:r>
    </w:p>
    <w:p w:rsidR="00485385" w:rsidRDefault="00485385" w:rsidP="00A3551C">
      <w:pPr>
        <w:pStyle w:val="ListParagraph"/>
        <w:numPr>
          <w:ilvl w:val="0"/>
          <w:numId w:val="22"/>
        </w:numPr>
        <w:spacing w:after="200" w:line="276" w:lineRule="auto"/>
        <w:jc w:val="both"/>
      </w:pPr>
      <w:r>
        <w:t>What is the financial feasibility of providing care for patients with Dementia/Alzheimer’s?</w:t>
      </w:r>
    </w:p>
    <w:p w:rsidR="00485385" w:rsidRDefault="00485385" w:rsidP="00245DB8">
      <w:pPr>
        <w:spacing w:after="200" w:line="276" w:lineRule="auto"/>
        <w:jc w:val="both"/>
      </w:pPr>
      <w:r>
        <w:t xml:space="preserve">She pointed out that a similar type of  survey has been done and given to </w:t>
      </w:r>
      <w:proofErr w:type="spellStart"/>
      <w:r>
        <w:t>admistrators</w:t>
      </w:r>
      <w:proofErr w:type="spellEnd"/>
      <w:r>
        <w:t xml:space="preserve"> of residential care centers in regards to care for VA patients.  Results are pending and maybe of  interest to the TFAD</w:t>
      </w:r>
    </w:p>
    <w:p w:rsidR="00485385" w:rsidRDefault="00485385">
      <w:pPr>
        <w:pStyle w:val="CommentText"/>
      </w:pPr>
    </w:p>
  </w:comment>
  <w:comment w:id="3" w:author="swoodbury" w:date="2014-11-12T15:20:00Z" w:initials="s">
    <w:p w:rsidR="00485385" w:rsidRDefault="00485385">
      <w:pPr>
        <w:pStyle w:val="CommentText"/>
      </w:pPr>
      <w:r>
        <w:rPr>
          <w:rStyle w:val="CommentReference"/>
        </w:rPr>
        <w:annotationRef/>
      </w:r>
      <w:r>
        <w:t>Dr. Bernick to discuss background information on hospital care for lead-in to Recommendation 8.</w:t>
      </w:r>
    </w:p>
  </w:comment>
  <w:comment w:id="4" w:author="swoodbury" w:date="2014-11-12T15:20:00Z" w:initials="s">
    <w:p w:rsidR="00485385" w:rsidRDefault="00485385">
      <w:pPr>
        <w:pStyle w:val="CommentText"/>
      </w:pPr>
      <w:r>
        <w:rPr>
          <w:rStyle w:val="CommentReference"/>
        </w:rPr>
        <w:annotationRef/>
      </w:r>
      <w:r>
        <w:t>Ms. Simons remarked that we may want to add another box to the tab le with the number of residential care facilities to reflect more current numbers/display changes that have occurred.</w:t>
      </w:r>
    </w:p>
  </w:comment>
  <w:comment w:id="5" w:author="Jane Fisher" w:date="2014-11-12T15:20:00Z" w:initials="JF">
    <w:p w:rsidR="00485385" w:rsidRDefault="00485385" w:rsidP="00016C6F">
      <w:pPr>
        <w:pStyle w:val="CommentText"/>
      </w:pPr>
      <w:r>
        <w:rPr>
          <w:rStyle w:val="CommentReference"/>
          <w:rFonts w:eastAsiaTheme="majorEastAsia"/>
        </w:rPr>
        <w:annotationRef/>
      </w:r>
      <w:r>
        <w:t>I believe we need to start the prevention approach much earlier so that Nevadans never reach the point where there behavioral health is so compromised that they are at risk for being rejected by facilities in NV. The previous draft was focused on worst case scenario rather than targeting the conditions that lead to a crisis in accessing care</w:t>
      </w:r>
    </w:p>
  </w:comment>
  <w:comment w:id="6" w:author="Jane Fisher" w:date="2014-11-12T15:20:00Z" w:initials="JF">
    <w:p w:rsidR="00485385" w:rsidRDefault="00485385" w:rsidP="00016C6F">
      <w:pPr>
        <w:pStyle w:val="CommentText"/>
      </w:pPr>
      <w:r>
        <w:rPr>
          <w:rStyle w:val="CommentReference"/>
          <w:rFonts w:eastAsiaTheme="majorEastAsia"/>
        </w:rPr>
        <w:annotationRef/>
      </w:r>
      <w:r>
        <w:t>“Behaviorally challenged” label is potentially stigmatizing. Given that challenging behaviors are preventable in the large majority of cases I think it’s inappropriate for anyone to receive the label.</w:t>
      </w:r>
    </w:p>
  </w:comment>
  <w:comment w:id="7" w:author="swoodbury" w:date="2014-11-12T15:20:00Z" w:initials="s">
    <w:p w:rsidR="00485385" w:rsidRDefault="00485385">
      <w:pPr>
        <w:pStyle w:val="CommentText"/>
      </w:pPr>
      <w:r>
        <w:rPr>
          <w:rStyle w:val="CommentReference"/>
        </w:rPr>
        <w:annotationRef/>
      </w:r>
      <w:r>
        <w:t xml:space="preserve">Sen. Hardy will let us know what the BDR# will be for  Recommendations #11-14 combined. </w:t>
      </w:r>
    </w:p>
  </w:comment>
  <w:comment w:id="8" w:author="swoodbury" w:date="2014-11-12T15:20:00Z" w:initials="s">
    <w:p w:rsidR="00485385" w:rsidRDefault="00485385" w:rsidP="00B76D44">
      <w:pPr>
        <w:spacing w:line="276" w:lineRule="auto"/>
      </w:pPr>
      <w:r>
        <w:rPr>
          <w:rStyle w:val="CommentReference"/>
        </w:rPr>
        <w:annotationRef/>
      </w:r>
      <w:r>
        <w:t xml:space="preserve">Ms. Cunningham  provided additional explanation   to the Indicator as follows: </w:t>
      </w:r>
    </w:p>
    <w:p w:rsidR="00485385" w:rsidRDefault="00485385" w:rsidP="00B76D44">
      <w:pPr>
        <w:spacing w:line="276" w:lineRule="auto"/>
      </w:pPr>
    </w:p>
    <w:p w:rsidR="00485385" w:rsidRPr="002718C4" w:rsidRDefault="00485385" w:rsidP="00B76D44">
      <w:pPr>
        <w:spacing w:line="276" w:lineRule="auto"/>
        <w:rPr>
          <w:b/>
          <w:color w:val="FF0000"/>
          <w:sz w:val="22"/>
        </w:rPr>
      </w:pPr>
      <w:r>
        <w:rPr>
          <w:b/>
          <w:sz w:val="22"/>
        </w:rPr>
        <w:t>As the requirements of caregiver and care partner</w:t>
      </w:r>
      <w:r>
        <w:rPr>
          <w:b/>
          <w:color w:val="FF0000"/>
          <w:sz w:val="22"/>
        </w:rPr>
        <w:t>s</w:t>
      </w:r>
      <w:r>
        <w:rPr>
          <w:b/>
          <w:sz w:val="22"/>
        </w:rPr>
        <w:t xml:space="preserve"> become more and more overwhelming it is essential to have connections and resources to help individuals and families in a variety of ways. These assistants may be family members, friends and neighbors, church or civic group members, and other members of the community who want to make a difference in the lives of others.  </w:t>
      </w:r>
      <w:r w:rsidRPr="002718C4">
        <w:rPr>
          <w:b/>
          <w:color w:val="FF0000"/>
          <w:sz w:val="22"/>
        </w:rPr>
        <w:t>Volunteers</w:t>
      </w:r>
      <w:r>
        <w:rPr>
          <w:b/>
          <w:color w:val="FF0000"/>
          <w:sz w:val="22"/>
        </w:rPr>
        <w:t xml:space="preserve"> may be recruited in a variety ways including contact with:</w:t>
      </w:r>
    </w:p>
    <w:p w:rsidR="00485385" w:rsidRDefault="00485385" w:rsidP="00B76D44">
      <w:pPr>
        <w:pStyle w:val="ListParagraph"/>
        <w:numPr>
          <w:ilvl w:val="0"/>
          <w:numId w:val="23"/>
        </w:numPr>
        <w:spacing w:line="276" w:lineRule="auto"/>
        <w:rPr>
          <w:b/>
          <w:sz w:val="22"/>
        </w:rPr>
      </w:pPr>
      <w:r>
        <w:rPr>
          <w:b/>
          <w:sz w:val="22"/>
        </w:rPr>
        <w:t>Church groups</w:t>
      </w:r>
    </w:p>
    <w:p w:rsidR="00485385" w:rsidRDefault="00485385" w:rsidP="00B76D44">
      <w:pPr>
        <w:pStyle w:val="ListParagraph"/>
        <w:numPr>
          <w:ilvl w:val="0"/>
          <w:numId w:val="23"/>
        </w:numPr>
        <w:spacing w:line="276" w:lineRule="auto"/>
        <w:rPr>
          <w:b/>
          <w:sz w:val="22"/>
        </w:rPr>
      </w:pPr>
      <w:r>
        <w:rPr>
          <w:b/>
          <w:sz w:val="22"/>
        </w:rPr>
        <w:t>Senior centers</w:t>
      </w:r>
    </w:p>
    <w:p w:rsidR="00485385" w:rsidRPr="00702C49" w:rsidRDefault="00485385" w:rsidP="00B76D44">
      <w:pPr>
        <w:pStyle w:val="ListParagraph"/>
        <w:numPr>
          <w:ilvl w:val="0"/>
          <w:numId w:val="23"/>
        </w:numPr>
        <w:spacing w:line="276" w:lineRule="auto"/>
        <w:rPr>
          <w:b/>
          <w:sz w:val="22"/>
        </w:rPr>
      </w:pPr>
      <w:r>
        <w:rPr>
          <w:b/>
          <w:sz w:val="22"/>
        </w:rPr>
        <w:t xml:space="preserve">Health care providers such as nurses who receive stipends and incentives for community outreach </w:t>
      </w:r>
      <w:r>
        <w:rPr>
          <w:b/>
          <w:color w:val="FF0000"/>
          <w:sz w:val="22"/>
        </w:rPr>
        <w:t>programs</w:t>
      </w:r>
    </w:p>
    <w:p w:rsidR="00485385" w:rsidRPr="00702C49" w:rsidRDefault="00485385" w:rsidP="00B76D44">
      <w:pPr>
        <w:pStyle w:val="ListParagraph"/>
        <w:numPr>
          <w:ilvl w:val="0"/>
          <w:numId w:val="23"/>
        </w:numPr>
        <w:spacing w:line="276" w:lineRule="auto"/>
        <w:rPr>
          <w:b/>
          <w:color w:val="FF0000"/>
          <w:sz w:val="22"/>
        </w:rPr>
      </w:pPr>
      <w:r w:rsidRPr="00702C49">
        <w:rPr>
          <w:b/>
          <w:color w:val="FF0000"/>
          <w:sz w:val="22"/>
        </w:rPr>
        <w:t>Nursing a</w:t>
      </w:r>
      <w:r>
        <w:rPr>
          <w:b/>
          <w:color w:val="FF0000"/>
          <w:sz w:val="22"/>
        </w:rPr>
        <w:t>nd other medical field students who need community service hours</w:t>
      </w:r>
    </w:p>
    <w:p w:rsidR="00485385" w:rsidRDefault="00485385" w:rsidP="00B76D44">
      <w:pPr>
        <w:pStyle w:val="ListParagraph"/>
        <w:numPr>
          <w:ilvl w:val="0"/>
          <w:numId w:val="23"/>
        </w:numPr>
        <w:spacing w:line="276" w:lineRule="auto"/>
        <w:rPr>
          <w:b/>
          <w:sz w:val="22"/>
        </w:rPr>
      </w:pPr>
      <w:r>
        <w:rPr>
          <w:b/>
          <w:sz w:val="22"/>
        </w:rPr>
        <w:t>Court officials with individuals on probation who need community service hours</w:t>
      </w:r>
    </w:p>
    <w:p w:rsidR="00485385" w:rsidRDefault="00485385" w:rsidP="00B76D44">
      <w:pPr>
        <w:pStyle w:val="ListParagraph"/>
        <w:numPr>
          <w:ilvl w:val="0"/>
          <w:numId w:val="23"/>
        </w:numPr>
        <w:spacing w:line="276" w:lineRule="auto"/>
        <w:rPr>
          <w:b/>
          <w:sz w:val="22"/>
        </w:rPr>
      </w:pPr>
      <w:r>
        <w:rPr>
          <w:b/>
          <w:sz w:val="22"/>
        </w:rPr>
        <w:t>Court officials with individuals from drug court, etc. who need community service hours</w:t>
      </w:r>
    </w:p>
    <w:p w:rsidR="00485385" w:rsidRDefault="00485385" w:rsidP="00B76D44">
      <w:pPr>
        <w:pStyle w:val="ListParagraph"/>
        <w:numPr>
          <w:ilvl w:val="0"/>
          <w:numId w:val="23"/>
        </w:numPr>
        <w:spacing w:line="276" w:lineRule="auto"/>
        <w:rPr>
          <w:b/>
          <w:sz w:val="22"/>
        </w:rPr>
      </w:pPr>
      <w:r>
        <w:rPr>
          <w:b/>
          <w:sz w:val="22"/>
        </w:rPr>
        <w:t>Colleges and universities departments especially those who have students studying health related fields, social services, psychology</w:t>
      </w:r>
    </w:p>
    <w:p w:rsidR="00485385" w:rsidRDefault="00485385" w:rsidP="00B76D44">
      <w:pPr>
        <w:pStyle w:val="ListParagraph"/>
        <w:numPr>
          <w:ilvl w:val="0"/>
          <w:numId w:val="23"/>
        </w:numPr>
        <w:spacing w:line="276" w:lineRule="auto"/>
        <w:rPr>
          <w:b/>
          <w:sz w:val="22"/>
        </w:rPr>
      </w:pPr>
      <w:r>
        <w:rPr>
          <w:b/>
          <w:sz w:val="22"/>
        </w:rPr>
        <w:t>Local offices such as the Chamber of Commerce and the courthouse where brochures and flyers on volunteer opportunities are available</w:t>
      </w:r>
    </w:p>
    <w:p w:rsidR="00485385" w:rsidRDefault="00485385" w:rsidP="00B76D44">
      <w:pPr>
        <w:pStyle w:val="ListParagraph"/>
        <w:numPr>
          <w:ilvl w:val="0"/>
          <w:numId w:val="23"/>
        </w:numPr>
        <w:spacing w:line="276" w:lineRule="auto"/>
        <w:rPr>
          <w:b/>
          <w:sz w:val="22"/>
        </w:rPr>
      </w:pPr>
      <w:r>
        <w:rPr>
          <w:b/>
          <w:sz w:val="22"/>
        </w:rPr>
        <w:t>Area high schools where honor students and others want to be involved in community service</w:t>
      </w:r>
    </w:p>
    <w:p w:rsidR="00485385" w:rsidRDefault="00485385" w:rsidP="00B76D44">
      <w:pPr>
        <w:pStyle w:val="ListParagraph"/>
        <w:numPr>
          <w:ilvl w:val="0"/>
          <w:numId w:val="23"/>
        </w:numPr>
        <w:spacing w:line="276" w:lineRule="auto"/>
        <w:rPr>
          <w:b/>
          <w:sz w:val="22"/>
        </w:rPr>
      </w:pPr>
      <w:r>
        <w:rPr>
          <w:b/>
          <w:sz w:val="22"/>
        </w:rPr>
        <w:t>Advertisements and announcements in local newspapers, newsletters, and other community publications</w:t>
      </w:r>
    </w:p>
    <w:p w:rsidR="00485385" w:rsidRDefault="00485385" w:rsidP="00B76D44">
      <w:pPr>
        <w:pStyle w:val="ListParagraph"/>
        <w:numPr>
          <w:ilvl w:val="0"/>
          <w:numId w:val="23"/>
        </w:numPr>
        <w:spacing w:line="276" w:lineRule="auto"/>
        <w:rPr>
          <w:b/>
          <w:sz w:val="22"/>
        </w:rPr>
      </w:pPr>
      <w:r>
        <w:rPr>
          <w:b/>
          <w:sz w:val="22"/>
        </w:rPr>
        <w:t>Hospice and other care facilities</w:t>
      </w:r>
    </w:p>
    <w:p w:rsidR="00485385" w:rsidRDefault="00485385" w:rsidP="00B76D44">
      <w:pPr>
        <w:pStyle w:val="ListParagraph"/>
        <w:numPr>
          <w:ilvl w:val="0"/>
          <w:numId w:val="23"/>
        </w:numPr>
        <w:spacing w:line="276" w:lineRule="auto"/>
        <w:rPr>
          <w:b/>
          <w:sz w:val="22"/>
        </w:rPr>
      </w:pPr>
      <w:r>
        <w:rPr>
          <w:b/>
          <w:sz w:val="22"/>
        </w:rPr>
        <w:t>Community Action and Community Coalition groups</w:t>
      </w:r>
    </w:p>
    <w:p w:rsidR="00485385" w:rsidRDefault="00485385" w:rsidP="00B76D44">
      <w:pPr>
        <w:pStyle w:val="ListParagraph"/>
        <w:numPr>
          <w:ilvl w:val="0"/>
          <w:numId w:val="23"/>
        </w:numPr>
        <w:spacing w:line="276" w:lineRule="auto"/>
        <w:rPr>
          <w:b/>
          <w:sz w:val="22"/>
        </w:rPr>
      </w:pPr>
      <w:r>
        <w:rPr>
          <w:b/>
          <w:sz w:val="22"/>
        </w:rPr>
        <w:t>Service organizations such as the Rotary, Lions, and Scouts</w:t>
      </w:r>
    </w:p>
    <w:p w:rsidR="00485385" w:rsidRDefault="00485385" w:rsidP="00B76D44">
      <w:pPr>
        <w:spacing w:line="276" w:lineRule="auto"/>
        <w:rPr>
          <w:b/>
          <w:sz w:val="22"/>
        </w:rPr>
      </w:pPr>
    </w:p>
    <w:p w:rsidR="00485385" w:rsidRDefault="00485385" w:rsidP="00B76D44">
      <w:pPr>
        <w:spacing w:line="276" w:lineRule="auto"/>
        <w:rPr>
          <w:b/>
          <w:color w:val="FF0000"/>
          <w:sz w:val="22"/>
        </w:rPr>
      </w:pPr>
      <w:r>
        <w:rPr>
          <w:b/>
          <w:color w:val="FF0000"/>
          <w:sz w:val="22"/>
        </w:rPr>
        <w:t>Active recruitment should be in place each time a local presentation on aging, Alzheimer’s disease, dementias, and other facets of life such as retirement is held. A spokesperson/recruiter for the area could speak about the need for in-home “</w:t>
      </w:r>
      <w:proofErr w:type="spellStart"/>
      <w:r>
        <w:rPr>
          <w:b/>
          <w:color w:val="FF0000"/>
          <w:sz w:val="22"/>
        </w:rPr>
        <w:t>helpcare</w:t>
      </w:r>
      <w:proofErr w:type="spellEnd"/>
      <w:r>
        <w:rPr>
          <w:b/>
          <w:color w:val="FF0000"/>
          <w:sz w:val="22"/>
        </w:rPr>
        <w:t>” throughout the community. Duties might include:</w:t>
      </w:r>
    </w:p>
    <w:p w:rsidR="00485385" w:rsidRDefault="00485385" w:rsidP="00B76D44">
      <w:pPr>
        <w:pStyle w:val="ListParagraph"/>
        <w:numPr>
          <w:ilvl w:val="0"/>
          <w:numId w:val="27"/>
        </w:numPr>
        <w:spacing w:line="276" w:lineRule="auto"/>
        <w:rPr>
          <w:b/>
          <w:color w:val="FF0000"/>
          <w:sz w:val="22"/>
        </w:rPr>
      </w:pPr>
      <w:r>
        <w:rPr>
          <w:b/>
          <w:color w:val="FF0000"/>
          <w:sz w:val="22"/>
        </w:rPr>
        <w:t>Socialization</w:t>
      </w:r>
    </w:p>
    <w:p w:rsidR="00485385" w:rsidRDefault="00485385" w:rsidP="00B76D44">
      <w:pPr>
        <w:pStyle w:val="ListParagraph"/>
        <w:numPr>
          <w:ilvl w:val="0"/>
          <w:numId w:val="27"/>
        </w:numPr>
        <w:spacing w:line="276" w:lineRule="auto"/>
        <w:rPr>
          <w:b/>
          <w:color w:val="FF0000"/>
          <w:sz w:val="22"/>
        </w:rPr>
      </w:pPr>
      <w:r>
        <w:rPr>
          <w:b/>
          <w:color w:val="FF0000"/>
          <w:sz w:val="22"/>
        </w:rPr>
        <w:t xml:space="preserve">Organizing </w:t>
      </w:r>
      <w:proofErr w:type="spellStart"/>
      <w:r>
        <w:rPr>
          <w:b/>
          <w:color w:val="FF0000"/>
          <w:sz w:val="22"/>
        </w:rPr>
        <w:t>scrapebooks</w:t>
      </w:r>
      <w:proofErr w:type="spellEnd"/>
    </w:p>
    <w:p w:rsidR="00485385" w:rsidRDefault="00485385" w:rsidP="00B76D44">
      <w:pPr>
        <w:pStyle w:val="ListParagraph"/>
        <w:numPr>
          <w:ilvl w:val="0"/>
          <w:numId w:val="27"/>
        </w:numPr>
        <w:spacing w:line="276" w:lineRule="auto"/>
        <w:rPr>
          <w:b/>
          <w:color w:val="FF0000"/>
          <w:sz w:val="22"/>
        </w:rPr>
      </w:pPr>
      <w:r>
        <w:rPr>
          <w:b/>
          <w:color w:val="FF0000"/>
          <w:sz w:val="22"/>
        </w:rPr>
        <w:t>Playing games or making puzzles</w:t>
      </w:r>
    </w:p>
    <w:p w:rsidR="00485385" w:rsidRDefault="00485385" w:rsidP="00B76D44">
      <w:pPr>
        <w:pStyle w:val="ListParagraph"/>
        <w:numPr>
          <w:ilvl w:val="0"/>
          <w:numId w:val="27"/>
        </w:numPr>
        <w:spacing w:line="276" w:lineRule="auto"/>
        <w:rPr>
          <w:b/>
          <w:color w:val="FF0000"/>
          <w:sz w:val="22"/>
        </w:rPr>
      </w:pPr>
      <w:r>
        <w:rPr>
          <w:b/>
          <w:color w:val="FF0000"/>
          <w:sz w:val="22"/>
        </w:rPr>
        <w:t>Running errands</w:t>
      </w:r>
    </w:p>
    <w:p w:rsidR="00485385" w:rsidRDefault="00485385" w:rsidP="00B76D44">
      <w:pPr>
        <w:pStyle w:val="ListParagraph"/>
        <w:numPr>
          <w:ilvl w:val="0"/>
          <w:numId w:val="27"/>
        </w:numPr>
        <w:spacing w:line="276" w:lineRule="auto"/>
        <w:rPr>
          <w:b/>
          <w:color w:val="FF0000"/>
          <w:sz w:val="22"/>
        </w:rPr>
      </w:pPr>
      <w:r>
        <w:rPr>
          <w:b/>
          <w:color w:val="FF0000"/>
          <w:sz w:val="22"/>
        </w:rPr>
        <w:t>Household responsibilities such as cleaning, cooking, and/or shopping</w:t>
      </w:r>
    </w:p>
    <w:p w:rsidR="00485385" w:rsidRDefault="00485385" w:rsidP="00B76D44">
      <w:pPr>
        <w:spacing w:line="276" w:lineRule="auto"/>
        <w:rPr>
          <w:b/>
          <w:color w:val="FF0000"/>
          <w:sz w:val="22"/>
        </w:rPr>
      </w:pPr>
      <w:r>
        <w:rPr>
          <w:b/>
          <w:color w:val="FF0000"/>
          <w:sz w:val="22"/>
        </w:rPr>
        <w:t>Those with advanced training could also perform duties such as bathing or checking/delivering medications.</w:t>
      </w:r>
    </w:p>
    <w:p w:rsidR="00485385" w:rsidRPr="00702C49" w:rsidRDefault="00485385" w:rsidP="00B76D44">
      <w:pPr>
        <w:spacing w:line="276" w:lineRule="auto"/>
        <w:rPr>
          <w:b/>
          <w:color w:val="FF0000"/>
          <w:sz w:val="22"/>
        </w:rPr>
      </w:pPr>
      <w:r>
        <w:rPr>
          <w:b/>
          <w:color w:val="FF0000"/>
          <w:sz w:val="22"/>
        </w:rPr>
        <w:t>A partnership with colleges, universities, and hospitals would extend training with courses in First Aid, handling medical emergencies, EMT and CAN classes, and other health care courses.</w:t>
      </w:r>
    </w:p>
    <w:p w:rsidR="00485385" w:rsidRDefault="00485385" w:rsidP="00B76D44">
      <w:pPr>
        <w:spacing w:line="276" w:lineRule="auto"/>
        <w:rPr>
          <w:b/>
          <w:sz w:val="22"/>
        </w:rPr>
      </w:pPr>
    </w:p>
    <w:p w:rsidR="00485385" w:rsidRPr="00D3358E" w:rsidRDefault="00485385" w:rsidP="00B76D44">
      <w:pPr>
        <w:spacing w:line="276" w:lineRule="auto"/>
        <w:rPr>
          <w:b/>
        </w:rPr>
      </w:pPr>
      <w:r w:rsidRPr="00D3358E">
        <w:rPr>
          <w:b/>
        </w:rPr>
        <w:t>Team Leader(s):</w:t>
      </w:r>
    </w:p>
    <w:p w:rsidR="00485385" w:rsidRDefault="00485385" w:rsidP="00B76D44">
      <w:pPr>
        <w:spacing w:line="276" w:lineRule="auto"/>
        <w:rPr>
          <w:b/>
          <w:sz w:val="22"/>
        </w:rPr>
      </w:pPr>
      <w:r>
        <w:rPr>
          <w:b/>
          <w:sz w:val="22"/>
        </w:rPr>
        <w:t>Communities and neighborhoods need a team leader who is in charge of recruiting, organizing training, and supervising the volunteer program. These leaders may come from the Alzheimer’s Association, Alzheimer’s Support Group Facilitators, the community, or other individuals interested in coordinating this program. A widespread outreach program is a tremendous task but it could be coordinated with other service organizations to alleviate some of the stress. Leaders need to have:</w:t>
      </w:r>
    </w:p>
    <w:p w:rsidR="00485385" w:rsidRDefault="00485385" w:rsidP="00B76D44">
      <w:pPr>
        <w:pStyle w:val="ListParagraph"/>
        <w:numPr>
          <w:ilvl w:val="0"/>
          <w:numId w:val="26"/>
        </w:numPr>
        <w:spacing w:line="276" w:lineRule="auto"/>
        <w:rPr>
          <w:b/>
          <w:sz w:val="22"/>
        </w:rPr>
      </w:pPr>
      <w:r>
        <w:rPr>
          <w:b/>
          <w:sz w:val="22"/>
        </w:rPr>
        <w:t>A background check</w:t>
      </w:r>
    </w:p>
    <w:p w:rsidR="00485385" w:rsidRDefault="00485385" w:rsidP="00B76D44">
      <w:pPr>
        <w:pStyle w:val="ListParagraph"/>
        <w:numPr>
          <w:ilvl w:val="0"/>
          <w:numId w:val="26"/>
        </w:numPr>
        <w:spacing w:line="276" w:lineRule="auto"/>
        <w:rPr>
          <w:b/>
          <w:sz w:val="22"/>
        </w:rPr>
      </w:pPr>
      <w:r>
        <w:rPr>
          <w:b/>
          <w:sz w:val="22"/>
        </w:rPr>
        <w:t>Leadership training</w:t>
      </w:r>
    </w:p>
    <w:p w:rsidR="00485385" w:rsidRDefault="00485385" w:rsidP="00B76D44">
      <w:pPr>
        <w:pStyle w:val="ListParagraph"/>
        <w:numPr>
          <w:ilvl w:val="0"/>
          <w:numId w:val="26"/>
        </w:numPr>
        <w:spacing w:line="276" w:lineRule="auto"/>
        <w:rPr>
          <w:b/>
          <w:sz w:val="22"/>
        </w:rPr>
      </w:pPr>
      <w:r>
        <w:rPr>
          <w:b/>
          <w:sz w:val="22"/>
        </w:rPr>
        <w:t>Supervisory training and support</w:t>
      </w:r>
    </w:p>
    <w:p w:rsidR="00485385" w:rsidRDefault="00485385" w:rsidP="00B76D44">
      <w:pPr>
        <w:pStyle w:val="ListParagraph"/>
        <w:numPr>
          <w:ilvl w:val="0"/>
          <w:numId w:val="26"/>
        </w:numPr>
        <w:spacing w:line="276" w:lineRule="auto"/>
        <w:rPr>
          <w:b/>
          <w:sz w:val="22"/>
        </w:rPr>
      </w:pPr>
      <w:r>
        <w:rPr>
          <w:b/>
          <w:sz w:val="22"/>
        </w:rPr>
        <w:t>Educational training with on-going updates</w:t>
      </w:r>
    </w:p>
    <w:p w:rsidR="00485385" w:rsidRDefault="00485385" w:rsidP="00B76D44">
      <w:pPr>
        <w:pStyle w:val="ListParagraph"/>
        <w:numPr>
          <w:ilvl w:val="0"/>
          <w:numId w:val="26"/>
        </w:numPr>
        <w:spacing w:line="276" w:lineRule="auto"/>
        <w:rPr>
          <w:b/>
          <w:sz w:val="22"/>
        </w:rPr>
      </w:pPr>
      <w:r>
        <w:rPr>
          <w:b/>
          <w:sz w:val="22"/>
        </w:rPr>
        <w:t>Support from Alzheimer’s Association, the Task Force, Aging and Disabilities Services Division, Hospice, and other social services organizations</w:t>
      </w:r>
    </w:p>
    <w:p w:rsidR="00485385" w:rsidRPr="00D3358E" w:rsidRDefault="00485385" w:rsidP="00B76D44">
      <w:pPr>
        <w:pStyle w:val="ListParagraph"/>
        <w:spacing w:line="276" w:lineRule="auto"/>
        <w:rPr>
          <w:b/>
          <w:sz w:val="22"/>
        </w:rPr>
      </w:pPr>
    </w:p>
    <w:p w:rsidR="00485385" w:rsidRPr="00D3358E" w:rsidRDefault="00485385" w:rsidP="00B76D44">
      <w:pPr>
        <w:spacing w:line="276" w:lineRule="auto"/>
        <w:rPr>
          <w:b/>
        </w:rPr>
      </w:pPr>
      <w:r w:rsidRPr="00D3358E">
        <w:rPr>
          <w:b/>
        </w:rPr>
        <w:t>Background Checks:</w:t>
      </w:r>
    </w:p>
    <w:p w:rsidR="00485385" w:rsidRDefault="00485385" w:rsidP="00B76D44">
      <w:pPr>
        <w:spacing w:line="276" w:lineRule="auto"/>
        <w:rPr>
          <w:b/>
          <w:sz w:val="22"/>
        </w:rPr>
      </w:pPr>
      <w:r>
        <w:rPr>
          <w:b/>
          <w:sz w:val="22"/>
        </w:rPr>
        <w:t xml:space="preserve">Because of the nature of this volunteer work a background check is of extreme importance. Fingerprinting through local government offices is recommended so that a background check can be performed. </w:t>
      </w:r>
      <w:r>
        <w:rPr>
          <w:b/>
          <w:color w:val="FF0000"/>
          <w:sz w:val="22"/>
        </w:rPr>
        <w:t>Waiving the fingerprinting fee would be one way to reward volunteers and demonstrate that they are valuable and belong on the team.</w:t>
      </w:r>
    </w:p>
    <w:p w:rsidR="00485385" w:rsidRDefault="00485385" w:rsidP="00B76D44">
      <w:pPr>
        <w:spacing w:line="276" w:lineRule="auto"/>
        <w:rPr>
          <w:b/>
          <w:sz w:val="22"/>
        </w:rPr>
      </w:pPr>
    </w:p>
    <w:p w:rsidR="00485385" w:rsidRPr="00D3358E" w:rsidRDefault="00485385" w:rsidP="00B76D44">
      <w:pPr>
        <w:spacing w:line="276" w:lineRule="auto"/>
        <w:rPr>
          <w:b/>
        </w:rPr>
      </w:pPr>
      <w:r w:rsidRPr="00D3358E">
        <w:rPr>
          <w:b/>
        </w:rPr>
        <w:t xml:space="preserve">Retaining </w:t>
      </w:r>
      <w:r>
        <w:rPr>
          <w:b/>
        </w:rPr>
        <w:t>Volunteers includes:</w:t>
      </w:r>
    </w:p>
    <w:p w:rsidR="00485385" w:rsidRPr="00AF31CF" w:rsidRDefault="00485385" w:rsidP="00B76D44">
      <w:pPr>
        <w:pStyle w:val="ListParagraph"/>
        <w:numPr>
          <w:ilvl w:val="0"/>
          <w:numId w:val="25"/>
        </w:numPr>
        <w:spacing w:line="276" w:lineRule="auto"/>
        <w:rPr>
          <w:b/>
          <w:sz w:val="22"/>
        </w:rPr>
      </w:pPr>
      <w:r>
        <w:rPr>
          <w:b/>
          <w:sz w:val="22"/>
        </w:rPr>
        <w:t xml:space="preserve">Application procedure that produces optimal match </w:t>
      </w:r>
      <w:r>
        <w:rPr>
          <w:b/>
          <w:color w:val="FF0000"/>
          <w:sz w:val="22"/>
        </w:rPr>
        <w:t>so that volunteer and those s/he assists feel rewarded and empowered</w:t>
      </w:r>
    </w:p>
    <w:p w:rsidR="00485385" w:rsidRDefault="00485385" w:rsidP="00B76D44">
      <w:pPr>
        <w:pStyle w:val="ListParagraph"/>
        <w:numPr>
          <w:ilvl w:val="0"/>
          <w:numId w:val="24"/>
        </w:numPr>
        <w:spacing w:line="276" w:lineRule="auto"/>
        <w:rPr>
          <w:b/>
          <w:sz w:val="22"/>
        </w:rPr>
      </w:pPr>
      <w:r>
        <w:rPr>
          <w:b/>
          <w:color w:val="FF0000"/>
          <w:sz w:val="22"/>
        </w:rPr>
        <w:t xml:space="preserve">Periodic </w:t>
      </w:r>
      <w:r>
        <w:rPr>
          <w:b/>
          <w:sz w:val="22"/>
        </w:rPr>
        <w:t xml:space="preserve">training and education opportunities via community outreach programs and </w:t>
      </w:r>
      <w:proofErr w:type="spellStart"/>
      <w:r>
        <w:rPr>
          <w:b/>
          <w:sz w:val="22"/>
        </w:rPr>
        <w:t>tele</w:t>
      </w:r>
      <w:proofErr w:type="spellEnd"/>
      <w:r>
        <w:rPr>
          <w:b/>
          <w:sz w:val="22"/>
        </w:rPr>
        <w:t>-health conferences</w:t>
      </w:r>
    </w:p>
    <w:p w:rsidR="00485385" w:rsidRDefault="00485385" w:rsidP="00B76D44">
      <w:pPr>
        <w:pStyle w:val="ListParagraph"/>
        <w:numPr>
          <w:ilvl w:val="0"/>
          <w:numId w:val="24"/>
        </w:numPr>
        <w:spacing w:line="276" w:lineRule="auto"/>
        <w:rPr>
          <w:b/>
          <w:sz w:val="22"/>
        </w:rPr>
      </w:pPr>
      <w:r>
        <w:rPr>
          <w:b/>
          <w:sz w:val="22"/>
        </w:rPr>
        <w:t>Trainers and supervisors who insure proper placement, guidance, and follow-up connections and re-connections</w:t>
      </w:r>
    </w:p>
    <w:p w:rsidR="00485385" w:rsidRDefault="00485385" w:rsidP="00B76D44">
      <w:pPr>
        <w:pStyle w:val="ListParagraph"/>
        <w:numPr>
          <w:ilvl w:val="0"/>
          <w:numId w:val="24"/>
        </w:numPr>
        <w:spacing w:line="276" w:lineRule="auto"/>
        <w:rPr>
          <w:b/>
          <w:sz w:val="22"/>
        </w:rPr>
      </w:pPr>
      <w:r>
        <w:rPr>
          <w:b/>
          <w:color w:val="FF0000"/>
          <w:sz w:val="22"/>
        </w:rPr>
        <w:t xml:space="preserve">A volunteer coordinator who </w:t>
      </w:r>
      <w:r w:rsidRPr="00702C49">
        <w:rPr>
          <w:b/>
          <w:color w:val="FF0000"/>
          <w:sz w:val="22"/>
        </w:rPr>
        <w:t>regularly</w:t>
      </w:r>
      <w:r>
        <w:rPr>
          <w:b/>
          <w:color w:val="FF0000"/>
          <w:sz w:val="22"/>
        </w:rPr>
        <w:t xml:space="preserve"> meets with volunteers live, via satellite, or by phone to provide support, encouragement, and insight</w:t>
      </w:r>
    </w:p>
    <w:p w:rsidR="00485385" w:rsidRDefault="00485385" w:rsidP="00B76D44">
      <w:pPr>
        <w:pStyle w:val="ListParagraph"/>
        <w:numPr>
          <w:ilvl w:val="0"/>
          <w:numId w:val="24"/>
        </w:numPr>
        <w:spacing w:line="276" w:lineRule="auto"/>
        <w:rPr>
          <w:b/>
          <w:sz w:val="22"/>
        </w:rPr>
      </w:pPr>
      <w:r>
        <w:rPr>
          <w:b/>
          <w:sz w:val="22"/>
        </w:rPr>
        <w:t>Training and education opportunities for volunteers and caregivers through community service at local colleges and universities</w:t>
      </w:r>
    </w:p>
    <w:p w:rsidR="00485385" w:rsidRDefault="00485385" w:rsidP="00B76D44">
      <w:pPr>
        <w:pStyle w:val="ListParagraph"/>
        <w:numPr>
          <w:ilvl w:val="0"/>
          <w:numId w:val="24"/>
        </w:numPr>
        <w:spacing w:line="276" w:lineRule="auto"/>
        <w:rPr>
          <w:b/>
          <w:sz w:val="22"/>
        </w:rPr>
      </w:pPr>
      <w:r>
        <w:rPr>
          <w:b/>
          <w:sz w:val="22"/>
        </w:rPr>
        <w:t>Continuing communication to assure that caregivers are up-to-date on the latest and most critical information</w:t>
      </w:r>
    </w:p>
    <w:p w:rsidR="00485385" w:rsidRDefault="00485385" w:rsidP="00B76D44">
      <w:pPr>
        <w:pStyle w:val="ListParagraph"/>
        <w:numPr>
          <w:ilvl w:val="0"/>
          <w:numId w:val="24"/>
        </w:numPr>
        <w:spacing w:line="276" w:lineRule="auto"/>
        <w:rPr>
          <w:b/>
          <w:sz w:val="22"/>
        </w:rPr>
      </w:pPr>
      <w:r>
        <w:rPr>
          <w:b/>
          <w:sz w:val="22"/>
        </w:rPr>
        <w:t>On-line services and information centers</w:t>
      </w:r>
    </w:p>
    <w:p w:rsidR="00485385" w:rsidRDefault="00485385" w:rsidP="00B76D44">
      <w:pPr>
        <w:pStyle w:val="ListParagraph"/>
        <w:numPr>
          <w:ilvl w:val="0"/>
          <w:numId w:val="24"/>
        </w:numPr>
        <w:spacing w:line="276" w:lineRule="auto"/>
        <w:rPr>
          <w:b/>
          <w:sz w:val="22"/>
        </w:rPr>
      </w:pPr>
      <w:r>
        <w:rPr>
          <w:b/>
          <w:color w:val="FF0000"/>
          <w:sz w:val="22"/>
        </w:rPr>
        <w:t>Support and assistance to avoid volunteer burn-out</w:t>
      </w:r>
    </w:p>
    <w:p w:rsidR="00485385" w:rsidRDefault="00485385" w:rsidP="00B76D44">
      <w:pPr>
        <w:spacing w:line="276" w:lineRule="auto"/>
        <w:rPr>
          <w:b/>
          <w:sz w:val="22"/>
        </w:rPr>
      </w:pPr>
    </w:p>
    <w:p w:rsidR="00485385" w:rsidRDefault="00485385" w:rsidP="00B76D44">
      <w:pPr>
        <w:spacing w:line="276" w:lineRule="auto"/>
        <w:rPr>
          <w:b/>
          <w:sz w:val="22"/>
        </w:rPr>
      </w:pPr>
      <w:r>
        <w:rPr>
          <w:b/>
          <w:sz w:val="22"/>
        </w:rPr>
        <w:t>Volunteers are internally rewarded by the unique sense of making a difference in the lives of others. It is also vital that there is appreciation for the time, effort, and heart volunteers provide. This does not mean financial compensation but thanks for a task completed, a dedication to personal service.</w:t>
      </w:r>
    </w:p>
    <w:p w:rsidR="00485385" w:rsidRDefault="00485385" w:rsidP="00B76D44">
      <w:pPr>
        <w:spacing w:line="276" w:lineRule="auto"/>
        <w:rPr>
          <w:b/>
          <w:sz w:val="22"/>
        </w:rPr>
      </w:pPr>
    </w:p>
    <w:p w:rsidR="00485385" w:rsidRDefault="00485385" w:rsidP="00B76D44">
      <w:pPr>
        <w:spacing w:line="276" w:lineRule="auto"/>
        <w:rPr>
          <w:b/>
          <w:color w:val="FF0000"/>
          <w:sz w:val="22"/>
        </w:rPr>
      </w:pPr>
      <w:r>
        <w:rPr>
          <w:b/>
          <w:color w:val="FF0000"/>
          <w:sz w:val="22"/>
        </w:rPr>
        <w:t>Implementation</w:t>
      </w:r>
    </w:p>
    <w:p w:rsidR="00485385" w:rsidRDefault="00485385" w:rsidP="00B76D44">
      <w:pPr>
        <w:spacing w:line="276" w:lineRule="auto"/>
        <w:rPr>
          <w:b/>
          <w:color w:val="FF0000"/>
          <w:sz w:val="22"/>
        </w:rPr>
      </w:pPr>
      <w:r>
        <w:rPr>
          <w:b/>
          <w:color w:val="FF0000"/>
          <w:sz w:val="22"/>
        </w:rPr>
        <w:t>Implementation of the Nevada Health Volunteer Program would require a coordinator to reach out throughout the state to entities mention under Indicator of Need. First s/he must:</w:t>
      </w:r>
    </w:p>
    <w:p w:rsidR="00485385" w:rsidRDefault="00485385" w:rsidP="00B76D44">
      <w:pPr>
        <w:pStyle w:val="ListParagraph"/>
        <w:numPr>
          <w:ilvl w:val="0"/>
          <w:numId w:val="28"/>
        </w:numPr>
        <w:spacing w:line="276" w:lineRule="auto"/>
        <w:rPr>
          <w:b/>
          <w:color w:val="FF0000"/>
          <w:sz w:val="22"/>
        </w:rPr>
      </w:pPr>
      <w:r>
        <w:rPr>
          <w:b/>
          <w:color w:val="FF0000"/>
          <w:sz w:val="22"/>
        </w:rPr>
        <w:t>Contact local hospitals, clinics, Seniors Citizens Centers, and Hospice organization to determine what the community already has in place and where there is critical need for volunteers</w:t>
      </w:r>
    </w:p>
    <w:p w:rsidR="00485385" w:rsidRDefault="00485385" w:rsidP="00B76D44">
      <w:pPr>
        <w:pStyle w:val="ListParagraph"/>
        <w:numPr>
          <w:ilvl w:val="0"/>
          <w:numId w:val="28"/>
        </w:numPr>
        <w:spacing w:line="276" w:lineRule="auto"/>
        <w:rPr>
          <w:b/>
          <w:color w:val="FF0000"/>
          <w:sz w:val="22"/>
        </w:rPr>
      </w:pPr>
      <w:r>
        <w:rPr>
          <w:b/>
          <w:color w:val="FF0000"/>
          <w:sz w:val="22"/>
        </w:rPr>
        <w:t>Study programs and services for optimal match to the needs of the community</w:t>
      </w:r>
    </w:p>
    <w:p w:rsidR="00485385" w:rsidRDefault="00485385" w:rsidP="00B76D44">
      <w:pPr>
        <w:pStyle w:val="ListParagraph"/>
        <w:numPr>
          <w:ilvl w:val="0"/>
          <w:numId w:val="28"/>
        </w:numPr>
        <w:spacing w:line="276" w:lineRule="auto"/>
        <w:rPr>
          <w:b/>
          <w:color w:val="FF0000"/>
          <w:sz w:val="22"/>
        </w:rPr>
      </w:pPr>
      <w:r>
        <w:rPr>
          <w:b/>
          <w:color w:val="FF0000"/>
          <w:sz w:val="22"/>
        </w:rPr>
        <w:t>Learn what is already in place and perhaps under-utilized</w:t>
      </w:r>
    </w:p>
    <w:p w:rsidR="00485385" w:rsidRDefault="00485385" w:rsidP="00B76D44">
      <w:pPr>
        <w:pStyle w:val="ListParagraph"/>
        <w:numPr>
          <w:ilvl w:val="0"/>
          <w:numId w:val="28"/>
        </w:numPr>
        <w:spacing w:line="276" w:lineRule="auto"/>
        <w:rPr>
          <w:b/>
          <w:color w:val="FF0000"/>
          <w:sz w:val="22"/>
        </w:rPr>
      </w:pPr>
      <w:r>
        <w:rPr>
          <w:b/>
          <w:color w:val="FF0000"/>
          <w:sz w:val="22"/>
        </w:rPr>
        <w:t>Analyze best fit of services for each community</w:t>
      </w:r>
    </w:p>
    <w:p w:rsidR="00485385" w:rsidRDefault="00485385" w:rsidP="00B76D44">
      <w:pPr>
        <w:pStyle w:val="ListParagraph"/>
        <w:numPr>
          <w:ilvl w:val="0"/>
          <w:numId w:val="28"/>
        </w:numPr>
        <w:spacing w:line="276" w:lineRule="auto"/>
        <w:rPr>
          <w:b/>
          <w:color w:val="FF0000"/>
          <w:sz w:val="22"/>
        </w:rPr>
      </w:pPr>
      <w:r>
        <w:rPr>
          <w:b/>
          <w:color w:val="FF0000"/>
          <w:sz w:val="22"/>
        </w:rPr>
        <w:t>Apply for grants that would support adding programs and services to meet the needs of the community</w:t>
      </w:r>
    </w:p>
    <w:p w:rsidR="00485385" w:rsidRDefault="00485385" w:rsidP="00B76D44">
      <w:pPr>
        <w:pStyle w:val="ListParagraph"/>
        <w:numPr>
          <w:ilvl w:val="0"/>
          <w:numId w:val="28"/>
        </w:numPr>
        <w:spacing w:line="276" w:lineRule="auto"/>
        <w:rPr>
          <w:b/>
          <w:color w:val="FF0000"/>
          <w:sz w:val="22"/>
        </w:rPr>
      </w:pPr>
      <w:r>
        <w:rPr>
          <w:b/>
          <w:color w:val="FF0000"/>
          <w:sz w:val="22"/>
        </w:rPr>
        <w:t>Visit with groups mentioned under Indicators of Need to recruit volunteers</w:t>
      </w:r>
    </w:p>
    <w:p w:rsidR="00485385" w:rsidRDefault="00485385" w:rsidP="00B76D44">
      <w:pPr>
        <w:pStyle w:val="ListParagraph"/>
        <w:numPr>
          <w:ilvl w:val="0"/>
          <w:numId w:val="28"/>
        </w:numPr>
        <w:spacing w:line="276" w:lineRule="auto"/>
        <w:rPr>
          <w:b/>
          <w:color w:val="FF0000"/>
          <w:sz w:val="22"/>
        </w:rPr>
      </w:pPr>
      <w:r>
        <w:rPr>
          <w:b/>
          <w:color w:val="FF0000"/>
          <w:sz w:val="22"/>
        </w:rPr>
        <w:t>Offer training and education to ensure that volunteers have positive success so that they remain in the volunteer ranks</w:t>
      </w:r>
    </w:p>
    <w:p w:rsidR="00485385" w:rsidRPr="0093537A" w:rsidRDefault="00485385" w:rsidP="00B76D44">
      <w:pPr>
        <w:pStyle w:val="ListParagraph"/>
        <w:numPr>
          <w:ilvl w:val="0"/>
          <w:numId w:val="28"/>
        </w:numPr>
        <w:spacing w:line="276" w:lineRule="auto"/>
        <w:rPr>
          <w:b/>
          <w:color w:val="FF0000"/>
          <w:sz w:val="22"/>
        </w:rPr>
      </w:pPr>
      <w:r w:rsidRPr="0093537A">
        <w:rPr>
          <w:b/>
          <w:color w:val="FF0000"/>
          <w:sz w:val="22"/>
        </w:rPr>
        <w:t>Develop</w:t>
      </w:r>
      <w:r>
        <w:rPr>
          <w:b/>
          <w:color w:val="FF0000"/>
          <w:sz w:val="22"/>
        </w:rPr>
        <w:t xml:space="preserve"> a plan to recruit more volunteers through feedback from current volunteers and volunteers care recipients</w:t>
      </w:r>
    </w:p>
    <w:p w:rsidR="00485385" w:rsidRDefault="00485385" w:rsidP="00B76D44">
      <w:pPr>
        <w:spacing w:line="276" w:lineRule="auto"/>
        <w:rPr>
          <w:b/>
          <w:sz w:val="22"/>
        </w:rPr>
      </w:pPr>
    </w:p>
    <w:p w:rsidR="00485385" w:rsidRDefault="00485385" w:rsidP="00B76D44">
      <w:pPr>
        <w:pStyle w:val="CommentText"/>
      </w:pPr>
    </w:p>
    <w:p w:rsidR="00485385" w:rsidRDefault="00485385" w:rsidP="00B76D44">
      <w:pPr>
        <w:pStyle w:val="CommentText"/>
      </w:pPr>
    </w:p>
  </w:comment>
  <w:comment w:id="9" w:author="swoodbury" w:date="2014-11-12T15:20:00Z" w:initials="s">
    <w:p w:rsidR="00485385" w:rsidRDefault="00485385">
      <w:pPr>
        <w:pStyle w:val="CommentText"/>
      </w:pPr>
      <w:r>
        <w:rPr>
          <w:rStyle w:val="CommentReference"/>
        </w:rPr>
        <w:annotationRef/>
      </w:r>
      <w:r>
        <w:t>Potential Action Plan:</w:t>
      </w:r>
    </w:p>
    <w:p w:rsidR="00485385" w:rsidRDefault="00485385" w:rsidP="00AE2009">
      <w:pPr>
        <w:rPr>
          <w:rFonts w:ascii="Calibri" w:hAnsi="Calibri" w:cs="Helvetica"/>
          <w:sz w:val="22"/>
          <w:szCs w:val="22"/>
        </w:rPr>
      </w:pPr>
      <w:r>
        <w:rPr>
          <w:rFonts w:ascii="Calibri" w:hAnsi="Calibri" w:cs="Helvetica"/>
          <w:sz w:val="22"/>
          <w:szCs w:val="22"/>
        </w:rPr>
        <w:t>18a:      </w:t>
      </w:r>
      <w:r>
        <w:rPr>
          <w:rStyle w:val="apple-converted-space"/>
          <w:rFonts w:ascii="Calibri" w:hAnsi="Calibri" w:cs="Helvetica"/>
          <w:sz w:val="22"/>
          <w:szCs w:val="22"/>
        </w:rPr>
        <w:t> </w:t>
      </w:r>
      <w:r>
        <w:rPr>
          <w:rFonts w:ascii="Calibri" w:hAnsi="Calibri" w:cs="Helvetica"/>
          <w:sz w:val="22"/>
          <w:szCs w:val="22"/>
        </w:rPr>
        <w:t>Propose legislation to change NRS 439.877(c) to include a requirement that all discharges from the hospital of people suffering from dementia, including but not limited to Alzheimer’s disease, are done to a safe and appropriate location where the patient is not subjected to being moved within thirty (30) days and is living in the least restrictive manner according to their capabilities. </w:t>
      </w:r>
      <w:r>
        <w:rPr>
          <w:rStyle w:val="apple-converted-space"/>
          <w:rFonts w:ascii="Calibri" w:hAnsi="Calibri" w:cs="Helvetica"/>
          <w:sz w:val="22"/>
          <w:szCs w:val="22"/>
        </w:rPr>
        <w:t> </w:t>
      </w:r>
      <w:r>
        <w:rPr>
          <w:rFonts w:ascii="Calibri" w:hAnsi="Calibri" w:cs="Helvetica"/>
          <w:sz w:val="22"/>
          <w:szCs w:val="22"/>
        </w:rPr>
        <w:t>The checklist must include investigating the living conditions to which the patient is being discharged.</w:t>
      </w:r>
    </w:p>
    <w:p w:rsidR="00485385" w:rsidRDefault="00485385" w:rsidP="00AE2009">
      <w:pPr>
        <w:rPr>
          <w:rFonts w:ascii="Calibri" w:hAnsi="Calibri" w:cs="Helvetica"/>
          <w:sz w:val="22"/>
          <w:szCs w:val="22"/>
        </w:rPr>
      </w:pPr>
      <w:r>
        <w:rPr>
          <w:rFonts w:ascii="Calibri" w:hAnsi="Calibri" w:cs="Helvetica"/>
          <w:sz w:val="22"/>
          <w:szCs w:val="22"/>
        </w:rPr>
        <w:t> </w:t>
      </w:r>
    </w:p>
    <w:p w:rsidR="00485385" w:rsidRDefault="00485385" w:rsidP="00AE2009">
      <w:pPr>
        <w:pStyle w:val="CommentText"/>
      </w:pPr>
      <w:r>
        <w:rPr>
          <w:rFonts w:ascii="Calibri" w:hAnsi="Calibri" w:cs="Helvetica"/>
          <w:sz w:val="22"/>
          <w:szCs w:val="22"/>
        </w:rPr>
        <w:t>18b:      </w:t>
      </w:r>
      <w:r>
        <w:rPr>
          <w:rStyle w:val="apple-converted-space"/>
          <w:rFonts w:ascii="Calibri" w:hAnsi="Calibri" w:cs="Helvetica"/>
          <w:sz w:val="22"/>
          <w:szCs w:val="22"/>
        </w:rPr>
        <w:t> </w:t>
      </w:r>
      <w:r>
        <w:rPr>
          <w:rFonts w:ascii="Calibri" w:hAnsi="Calibri" w:cs="Helvetica"/>
          <w:sz w:val="22"/>
          <w:szCs w:val="22"/>
        </w:rPr>
        <w:t>Ask the Legislature to send letters to the Division of Public and Behavioral Health and the Division of Health Care Financing and Policy regarding establishing hospital transitional care programs, increasing the number of home-based services and long-term care facilities with Alzheimer’s certification, and establishing a central location where available appropriate placements can be accessed.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23" w:rsidRDefault="00B63023" w:rsidP="001501EF">
      <w:r>
        <w:separator/>
      </w:r>
    </w:p>
  </w:endnote>
  <w:endnote w:type="continuationSeparator" w:id="0">
    <w:p w:rsidR="00B63023" w:rsidRDefault="00B63023" w:rsidP="001501EF">
      <w:r>
        <w:continuationSeparator/>
      </w:r>
    </w:p>
  </w:endnote>
  <w:endnote w:id="1">
    <w:p w:rsidR="00485385" w:rsidRPr="004F4709" w:rsidRDefault="00485385" w:rsidP="00CF294A">
      <w:pPr>
        <w:pStyle w:val="EndnoteText"/>
        <w:jc w:val="both"/>
        <w:rPr>
          <w:rFonts w:ascii="Times New Roman" w:hAnsi="Times New Roman"/>
          <w:sz w:val="16"/>
          <w:szCs w:val="16"/>
        </w:rPr>
      </w:pPr>
      <w:r w:rsidRPr="004F4709">
        <w:rPr>
          <w:rStyle w:val="EndnoteReference"/>
          <w:rFonts w:ascii="Times New Roman" w:hAnsi="Times New Roman"/>
          <w:sz w:val="16"/>
          <w:szCs w:val="16"/>
        </w:rPr>
        <w:endnoteRef/>
      </w:r>
      <w:r w:rsidRPr="004F4709">
        <w:rPr>
          <w:rFonts w:ascii="Times New Roman" w:hAnsi="Times New Roman"/>
          <w:sz w:val="16"/>
          <w:szCs w:val="16"/>
        </w:rPr>
        <w:t xml:space="preserve"> </w:t>
      </w:r>
      <w:r w:rsidRPr="00814BEE">
        <w:rPr>
          <w:sz w:val="16"/>
          <w:szCs w:val="16"/>
        </w:rPr>
        <w:t xml:space="preserve">Eboli Bello, V., &amp; Schultz, R. (2011). </w:t>
      </w:r>
      <w:r>
        <w:rPr>
          <w:sz w:val="16"/>
          <w:szCs w:val="16"/>
        </w:rPr>
        <w:t>“</w:t>
      </w:r>
      <w:r w:rsidRPr="00814BEE">
        <w:rPr>
          <w:sz w:val="16"/>
          <w:szCs w:val="16"/>
        </w:rPr>
        <w:t>Prevalence of treatable and reversible dementias: A study in a dementia outpatient clinic.</w:t>
      </w:r>
      <w:r>
        <w:rPr>
          <w:sz w:val="16"/>
          <w:szCs w:val="16"/>
        </w:rPr>
        <w:t>”</w:t>
      </w:r>
      <w:r w:rsidRPr="00814BEE">
        <w:rPr>
          <w:sz w:val="16"/>
          <w:szCs w:val="16"/>
        </w:rPr>
        <w:t xml:space="preserve"> </w:t>
      </w:r>
      <w:r>
        <w:rPr>
          <w:i/>
          <w:sz w:val="16"/>
          <w:szCs w:val="16"/>
        </w:rPr>
        <w:t>Dementia </w:t>
      </w:r>
      <w:r w:rsidRPr="00814BEE">
        <w:rPr>
          <w:i/>
          <w:sz w:val="16"/>
          <w:szCs w:val="16"/>
        </w:rPr>
        <w:t>Neuropsychologia, 5</w:t>
      </w:r>
      <w:r w:rsidRPr="00814BEE">
        <w:rPr>
          <w:sz w:val="16"/>
          <w:szCs w:val="16"/>
        </w:rPr>
        <w:t>(1): 44-47.</w:t>
      </w:r>
    </w:p>
  </w:endnote>
  <w:endnote w:id="2">
    <w:p w:rsidR="00485385" w:rsidRPr="004F4709" w:rsidRDefault="00485385" w:rsidP="00CF294A">
      <w:pPr>
        <w:jc w:val="both"/>
        <w:rPr>
          <w:rFonts w:ascii="Times New Roman" w:hAnsi="Times New Roman"/>
          <w:sz w:val="16"/>
          <w:szCs w:val="16"/>
        </w:rPr>
      </w:pPr>
      <w:r w:rsidRPr="004F4709">
        <w:rPr>
          <w:rStyle w:val="EndnoteReference"/>
          <w:rFonts w:ascii="Times New Roman" w:hAnsi="Times New Roman"/>
          <w:sz w:val="16"/>
          <w:szCs w:val="16"/>
        </w:rPr>
        <w:endnoteRef/>
      </w:r>
      <w:r w:rsidRPr="004F4709">
        <w:rPr>
          <w:rFonts w:ascii="Times New Roman" w:hAnsi="Times New Roman"/>
          <w:sz w:val="16"/>
          <w:szCs w:val="16"/>
        </w:rPr>
        <w:t xml:space="preserve"> </w:t>
      </w:r>
      <w:r w:rsidRPr="00814BEE">
        <w:rPr>
          <w:sz w:val="16"/>
          <w:szCs w:val="16"/>
        </w:rPr>
        <w:t xml:space="preserve">Goldberg, R. J. (2007). </w:t>
      </w:r>
      <w:r>
        <w:rPr>
          <w:sz w:val="16"/>
          <w:szCs w:val="16"/>
        </w:rPr>
        <w:t>“</w:t>
      </w:r>
      <w:r w:rsidRPr="00814BEE">
        <w:rPr>
          <w:sz w:val="16"/>
          <w:szCs w:val="16"/>
        </w:rPr>
        <w:t>Alzheimer’s disease.</w:t>
      </w:r>
      <w:r>
        <w:rPr>
          <w:sz w:val="16"/>
          <w:szCs w:val="16"/>
        </w:rPr>
        <w:t>”</w:t>
      </w:r>
      <w:r w:rsidRPr="00814BEE">
        <w:rPr>
          <w:sz w:val="16"/>
          <w:szCs w:val="16"/>
        </w:rPr>
        <w:t xml:space="preserve"> </w:t>
      </w:r>
      <w:r w:rsidRPr="00814BEE">
        <w:rPr>
          <w:i/>
          <w:sz w:val="16"/>
          <w:szCs w:val="16"/>
        </w:rPr>
        <w:t>Comprehensive Therapy, 33</w:t>
      </w:r>
      <w:r w:rsidRPr="00814BEE">
        <w:rPr>
          <w:sz w:val="16"/>
          <w:szCs w:val="16"/>
        </w:rPr>
        <w:t>(2): 58-64</w:t>
      </w:r>
      <w:r>
        <w:rPr>
          <w:sz w:val="16"/>
          <w:szCs w:val="16"/>
        </w:rPr>
        <w:t xml:space="preserve">; </w:t>
      </w:r>
      <w:r w:rsidRPr="00814BEE">
        <w:rPr>
          <w:sz w:val="16"/>
          <w:szCs w:val="16"/>
        </w:rPr>
        <w:t xml:space="preserve">Wilkosz, P. A., Seltman, H. J., Devlin, B., Weamer, E. A., Lopez, O. L., DeKosky, S. T., &amp; Sweet, R. A. (2010). </w:t>
      </w:r>
      <w:r>
        <w:rPr>
          <w:sz w:val="16"/>
          <w:szCs w:val="16"/>
        </w:rPr>
        <w:t>“</w:t>
      </w:r>
      <w:r w:rsidRPr="00814BEE">
        <w:rPr>
          <w:sz w:val="16"/>
          <w:szCs w:val="16"/>
        </w:rPr>
        <w:t xml:space="preserve">Trajectories of cognitive </w:t>
      </w:r>
      <w:r>
        <w:rPr>
          <w:sz w:val="16"/>
          <w:szCs w:val="16"/>
        </w:rPr>
        <w:t>decline in Alzheimer’s disease.”</w:t>
      </w:r>
      <w:r w:rsidRPr="00814BEE">
        <w:rPr>
          <w:i/>
          <w:sz w:val="16"/>
          <w:szCs w:val="16"/>
        </w:rPr>
        <w:t>International Psychogeriatrics, 22</w:t>
      </w:r>
      <w:r w:rsidRPr="00814BEE">
        <w:rPr>
          <w:sz w:val="16"/>
          <w:szCs w:val="16"/>
        </w:rPr>
        <w:t>(2): 281-290.</w:t>
      </w:r>
    </w:p>
  </w:endnote>
  <w:endnote w:id="3">
    <w:p w:rsidR="00485385" w:rsidRPr="004F4709" w:rsidRDefault="00485385" w:rsidP="00CF294A">
      <w:pPr>
        <w:pStyle w:val="EndnoteText"/>
        <w:jc w:val="both"/>
        <w:rPr>
          <w:rFonts w:ascii="Times New Roman" w:hAnsi="Times New Roman"/>
          <w:sz w:val="16"/>
          <w:szCs w:val="16"/>
        </w:rPr>
      </w:pPr>
      <w:r w:rsidRPr="004F4709">
        <w:rPr>
          <w:rStyle w:val="EndnoteReference"/>
          <w:rFonts w:ascii="Times New Roman" w:hAnsi="Times New Roman"/>
          <w:sz w:val="16"/>
          <w:szCs w:val="16"/>
        </w:rPr>
        <w:endnoteRef/>
      </w:r>
      <w:r w:rsidRPr="004F4709">
        <w:rPr>
          <w:rFonts w:ascii="Times New Roman" w:hAnsi="Times New Roman"/>
          <w:sz w:val="16"/>
          <w:szCs w:val="16"/>
        </w:rPr>
        <w:t xml:space="preserve"> </w:t>
      </w:r>
      <w:r w:rsidRPr="00814BEE">
        <w:rPr>
          <w:sz w:val="16"/>
          <w:szCs w:val="16"/>
        </w:rPr>
        <w:t xml:space="preserve">Clarimón, J., Molina-Porcel, L., Gómez-Isla, T., Blesa, R., Guardia-Laguarta, C., González-Neira, A., &amp; ... Lleó, A. (2009). </w:t>
      </w:r>
      <w:r>
        <w:rPr>
          <w:sz w:val="16"/>
          <w:szCs w:val="16"/>
        </w:rPr>
        <w:t>“</w:t>
      </w:r>
      <w:r w:rsidRPr="00814BEE">
        <w:rPr>
          <w:sz w:val="16"/>
          <w:szCs w:val="16"/>
        </w:rPr>
        <w:t>Early</w:t>
      </w:r>
      <w:r>
        <w:rPr>
          <w:sz w:val="16"/>
          <w:szCs w:val="16"/>
        </w:rPr>
        <w:noBreakHyphen/>
      </w:r>
      <w:r w:rsidRPr="00814BEE">
        <w:rPr>
          <w:sz w:val="16"/>
          <w:szCs w:val="16"/>
        </w:rPr>
        <w:t>onset familial Lewy body dementia with extensive tauopathy: A clinical, genetic, and neuropathological study.</w:t>
      </w:r>
      <w:r>
        <w:rPr>
          <w:sz w:val="16"/>
          <w:szCs w:val="16"/>
        </w:rPr>
        <w:t>”</w:t>
      </w:r>
      <w:r w:rsidRPr="00814BEE">
        <w:rPr>
          <w:sz w:val="16"/>
          <w:szCs w:val="16"/>
        </w:rPr>
        <w:t xml:space="preserve"> </w:t>
      </w:r>
      <w:r w:rsidRPr="00814BEE">
        <w:rPr>
          <w:i/>
          <w:sz w:val="16"/>
          <w:szCs w:val="16"/>
        </w:rPr>
        <w:t>Journal Of Neuropathology And Experimental Neurology, 68</w:t>
      </w:r>
      <w:r w:rsidRPr="00814BEE">
        <w:rPr>
          <w:sz w:val="16"/>
          <w:szCs w:val="16"/>
        </w:rPr>
        <w:t>(1): 73-82.</w:t>
      </w:r>
    </w:p>
  </w:endnote>
  <w:endnote w:id="4">
    <w:p w:rsidR="00485385" w:rsidRPr="004F4709" w:rsidRDefault="00485385" w:rsidP="00CF294A">
      <w:pPr>
        <w:jc w:val="both"/>
        <w:rPr>
          <w:rFonts w:ascii="Times New Roman" w:hAnsi="Times New Roman"/>
          <w:sz w:val="16"/>
          <w:szCs w:val="16"/>
        </w:rPr>
      </w:pPr>
      <w:r w:rsidRPr="004F4709">
        <w:rPr>
          <w:rStyle w:val="EndnoteReference"/>
          <w:rFonts w:ascii="Times New Roman" w:hAnsi="Times New Roman"/>
          <w:sz w:val="16"/>
          <w:szCs w:val="16"/>
        </w:rPr>
        <w:endnoteRef/>
      </w:r>
      <w:r w:rsidRPr="004F4709">
        <w:rPr>
          <w:rFonts w:ascii="Times New Roman" w:hAnsi="Times New Roman"/>
          <w:sz w:val="16"/>
          <w:szCs w:val="16"/>
        </w:rPr>
        <w:t xml:space="preserve"> </w:t>
      </w:r>
      <w:r w:rsidRPr="00814BEE">
        <w:rPr>
          <w:sz w:val="16"/>
          <w:szCs w:val="16"/>
        </w:rPr>
        <w:t xml:space="preserve">Hebert, L.E., Scherr, P.A., Bienias, J.L., Bennett, D.A., &amp; Evans, D.A. (2003). </w:t>
      </w:r>
      <w:r>
        <w:rPr>
          <w:sz w:val="16"/>
          <w:szCs w:val="16"/>
        </w:rPr>
        <w:t>“</w:t>
      </w:r>
      <w:r w:rsidRPr="00814BEE">
        <w:rPr>
          <w:sz w:val="16"/>
          <w:szCs w:val="16"/>
        </w:rPr>
        <w:t>Alzheimer’s disease in the U.S. population: Prevalence estimates using the 2000 census.</w:t>
      </w:r>
      <w:r>
        <w:rPr>
          <w:sz w:val="16"/>
          <w:szCs w:val="16"/>
        </w:rPr>
        <w:t>”</w:t>
      </w:r>
      <w:r w:rsidRPr="00814BEE">
        <w:rPr>
          <w:sz w:val="16"/>
          <w:szCs w:val="16"/>
        </w:rPr>
        <w:t xml:space="preserve"> </w:t>
      </w:r>
      <w:r w:rsidRPr="00814BEE">
        <w:rPr>
          <w:i/>
          <w:sz w:val="16"/>
          <w:szCs w:val="16"/>
        </w:rPr>
        <w:t>Archives of Neurology, 60</w:t>
      </w:r>
      <w:r w:rsidRPr="00814BEE">
        <w:rPr>
          <w:sz w:val="16"/>
          <w:szCs w:val="16"/>
        </w:rPr>
        <w:t>: 1119–1122</w:t>
      </w:r>
      <w:r>
        <w:rPr>
          <w:sz w:val="16"/>
          <w:szCs w:val="16"/>
        </w:rPr>
        <w:t xml:space="preserve">; </w:t>
      </w:r>
      <w:r w:rsidRPr="00814BEE">
        <w:rPr>
          <w:sz w:val="16"/>
          <w:szCs w:val="16"/>
        </w:rPr>
        <w:t xml:space="preserve">Plassman, B.L., Langa, K.M., Fisher, G.G., Heeringa, S.G., Weir, D.R., Ofstedal, M.B., et al. (2007). </w:t>
      </w:r>
      <w:r>
        <w:rPr>
          <w:sz w:val="16"/>
          <w:szCs w:val="16"/>
        </w:rPr>
        <w:t>“</w:t>
      </w:r>
      <w:r w:rsidRPr="00814BEE">
        <w:rPr>
          <w:sz w:val="16"/>
          <w:szCs w:val="16"/>
        </w:rPr>
        <w:t xml:space="preserve">Prevalence of dementia in the United States: The Aging, Demographics, and Memory Study. </w:t>
      </w:r>
      <w:r>
        <w:rPr>
          <w:sz w:val="16"/>
          <w:szCs w:val="16"/>
        </w:rPr>
        <w:t>“</w:t>
      </w:r>
      <w:r w:rsidRPr="00814BEE">
        <w:rPr>
          <w:i/>
          <w:sz w:val="16"/>
          <w:szCs w:val="16"/>
        </w:rPr>
        <w:t>Neuroepidemiology, 29</w:t>
      </w:r>
      <w:r>
        <w:rPr>
          <w:sz w:val="16"/>
          <w:szCs w:val="16"/>
        </w:rPr>
        <w:t>: 125-132.</w:t>
      </w:r>
    </w:p>
  </w:endnote>
  <w:endnote w:id="5">
    <w:p w:rsidR="00485385" w:rsidRDefault="00485385" w:rsidP="00CF294A">
      <w:pPr>
        <w:pStyle w:val="EndnoteText"/>
        <w:jc w:val="both"/>
      </w:pPr>
      <w:r w:rsidRPr="00E8215F">
        <w:rPr>
          <w:rStyle w:val="EndnoteReference"/>
          <w:sz w:val="16"/>
          <w:szCs w:val="16"/>
        </w:rPr>
        <w:endnoteRef/>
      </w:r>
      <w:r w:rsidRPr="00E8215F">
        <w:rPr>
          <w:sz w:val="16"/>
          <w:szCs w:val="16"/>
        </w:rPr>
        <w:t xml:space="preserve"> Plassman, B.L., Langa, K.M., Fisher, G.G., Heeringa, S.G., Weir</w:t>
      </w:r>
      <w:r>
        <w:rPr>
          <w:sz w:val="16"/>
          <w:szCs w:val="16"/>
        </w:rPr>
        <w:t xml:space="preserve">, D.R., Ofstedal, M.B., et al. </w:t>
      </w:r>
      <w:r w:rsidRPr="00E8215F">
        <w:rPr>
          <w:sz w:val="16"/>
          <w:szCs w:val="16"/>
        </w:rPr>
        <w:t xml:space="preserve">(2007). </w:t>
      </w:r>
      <w:r>
        <w:rPr>
          <w:sz w:val="16"/>
          <w:szCs w:val="16"/>
        </w:rPr>
        <w:t>“</w:t>
      </w:r>
      <w:r w:rsidRPr="00E8215F">
        <w:rPr>
          <w:sz w:val="16"/>
          <w:szCs w:val="16"/>
        </w:rPr>
        <w:t>Prevalence of dementia in the United States</w:t>
      </w:r>
      <w:r>
        <w:rPr>
          <w:sz w:val="16"/>
          <w:szCs w:val="16"/>
        </w:rPr>
        <w:t xml:space="preserve">: The Aging, Demographics, and </w:t>
      </w:r>
      <w:r w:rsidRPr="00E8215F">
        <w:rPr>
          <w:sz w:val="16"/>
          <w:szCs w:val="16"/>
        </w:rPr>
        <w:t>Memory Study.</w:t>
      </w:r>
      <w:r>
        <w:rPr>
          <w:sz w:val="16"/>
          <w:szCs w:val="16"/>
        </w:rPr>
        <w:t>”</w:t>
      </w:r>
      <w:r w:rsidRPr="00E8215F">
        <w:rPr>
          <w:sz w:val="16"/>
          <w:szCs w:val="16"/>
        </w:rPr>
        <w:t xml:space="preserve"> </w:t>
      </w:r>
      <w:r w:rsidRPr="00E8215F">
        <w:rPr>
          <w:i/>
          <w:sz w:val="16"/>
          <w:szCs w:val="16"/>
        </w:rPr>
        <w:t>Neuroepidemiology, 29</w:t>
      </w:r>
      <w:r w:rsidRPr="00E8215F">
        <w:rPr>
          <w:sz w:val="16"/>
          <w:szCs w:val="16"/>
        </w:rPr>
        <w:t>: 125-132.</w:t>
      </w:r>
    </w:p>
  </w:endnote>
  <w:endnote w:id="6">
    <w:p w:rsidR="00485385" w:rsidRDefault="00485385" w:rsidP="00CF294A">
      <w:pPr>
        <w:pStyle w:val="EndnoteText"/>
        <w:jc w:val="both"/>
      </w:pPr>
      <w:r w:rsidRPr="00614C4D">
        <w:rPr>
          <w:rStyle w:val="EndnoteReference"/>
          <w:sz w:val="16"/>
          <w:szCs w:val="16"/>
        </w:rPr>
        <w:endnoteRef/>
      </w:r>
      <w:r w:rsidRPr="00614C4D">
        <w:rPr>
          <w:sz w:val="16"/>
          <w:szCs w:val="16"/>
        </w:rPr>
        <w:t xml:space="preserve"> </w:t>
      </w:r>
      <w:r w:rsidRPr="00614C4D">
        <w:rPr>
          <w:bCs/>
          <w:sz w:val="16"/>
          <w:szCs w:val="16"/>
        </w:rPr>
        <w:t xml:space="preserve">Patterson, C., Feightner, J., Garcia, A., &amp; MacKnight, C. (2007). </w:t>
      </w:r>
      <w:r>
        <w:rPr>
          <w:bCs/>
          <w:sz w:val="16"/>
          <w:szCs w:val="16"/>
        </w:rPr>
        <w:t>“</w:t>
      </w:r>
      <w:r>
        <w:rPr>
          <w:sz w:val="16"/>
          <w:szCs w:val="16"/>
        </w:rPr>
        <w:t xml:space="preserve">General risk factors for </w:t>
      </w:r>
      <w:r w:rsidRPr="00614C4D">
        <w:rPr>
          <w:sz w:val="16"/>
          <w:szCs w:val="16"/>
        </w:rPr>
        <w:t>dementia: A systematic evidence review.</w:t>
      </w:r>
      <w:r>
        <w:rPr>
          <w:sz w:val="16"/>
          <w:szCs w:val="16"/>
        </w:rPr>
        <w:t>”</w:t>
      </w:r>
      <w:r w:rsidRPr="00614C4D">
        <w:rPr>
          <w:sz w:val="16"/>
          <w:szCs w:val="16"/>
        </w:rPr>
        <w:t xml:space="preserve"> </w:t>
      </w:r>
      <w:r w:rsidRPr="00614C4D">
        <w:rPr>
          <w:i/>
          <w:sz w:val="16"/>
          <w:szCs w:val="16"/>
        </w:rPr>
        <w:t>Alzheimer’s &amp; Dementia, 3</w:t>
      </w:r>
      <w:r w:rsidRPr="00614C4D">
        <w:rPr>
          <w:sz w:val="16"/>
          <w:szCs w:val="16"/>
        </w:rPr>
        <w:t>(4): 341-347</w:t>
      </w:r>
      <w:r w:rsidRPr="00206E24">
        <w:t>.</w:t>
      </w:r>
    </w:p>
  </w:endnote>
  <w:endnote w:id="7">
    <w:p w:rsidR="00485385" w:rsidRDefault="00485385" w:rsidP="00CF294A">
      <w:pPr>
        <w:pStyle w:val="FootnoteText"/>
        <w:jc w:val="both"/>
      </w:pPr>
      <w:r w:rsidRPr="003111EE">
        <w:rPr>
          <w:rStyle w:val="EndnoteReference"/>
          <w:rFonts w:ascii="Times New Roman" w:hAnsi="Times New Roman" w:cs="Times New Roman"/>
        </w:rPr>
        <w:endnoteRef/>
      </w:r>
      <w:r w:rsidRPr="003111EE">
        <w:rPr>
          <w:rFonts w:ascii="Times New Roman" w:hAnsi="Times New Roman" w:cs="Times New Roman"/>
        </w:rPr>
        <w:t xml:space="preserve"> </w:t>
      </w:r>
      <w:r w:rsidRPr="008B5519">
        <w:rPr>
          <w:rFonts w:ascii="CG Times" w:hAnsi="CG Times"/>
          <w:sz w:val="16"/>
          <w:szCs w:val="16"/>
        </w:rPr>
        <w:t xml:space="preserve">Oremus, M., Aguilar, S.C. (2011). </w:t>
      </w:r>
      <w:r>
        <w:rPr>
          <w:rFonts w:ascii="CG Times" w:hAnsi="CG Times"/>
          <w:sz w:val="16"/>
          <w:szCs w:val="16"/>
        </w:rPr>
        <w:t>“</w:t>
      </w:r>
      <w:r w:rsidRPr="008B5519">
        <w:rPr>
          <w:rFonts w:ascii="CG Times" w:hAnsi="CG Times"/>
          <w:sz w:val="16"/>
          <w:szCs w:val="16"/>
        </w:rPr>
        <w:t>A systematic review to assess the policy-making relevance of dementia cost-of-illness studies in the U.S. and Canada.</w:t>
      </w:r>
      <w:r>
        <w:rPr>
          <w:rFonts w:ascii="CG Times" w:hAnsi="CG Times"/>
          <w:sz w:val="16"/>
          <w:szCs w:val="16"/>
        </w:rPr>
        <w:t>”</w:t>
      </w:r>
      <w:r w:rsidRPr="008B5519">
        <w:rPr>
          <w:rFonts w:ascii="CG Times" w:hAnsi="CG Times"/>
          <w:sz w:val="16"/>
          <w:szCs w:val="16"/>
        </w:rPr>
        <w:t xml:space="preserve"> </w:t>
      </w:r>
      <w:r w:rsidRPr="00BA0A87">
        <w:rPr>
          <w:rFonts w:ascii="CG Times" w:hAnsi="CG Times"/>
          <w:i/>
          <w:sz w:val="16"/>
          <w:szCs w:val="16"/>
        </w:rPr>
        <w:t>Pharmacoeconomics</w:t>
      </w:r>
      <w:r w:rsidRPr="008B5519">
        <w:rPr>
          <w:rFonts w:ascii="CG Times" w:hAnsi="CG Times"/>
          <w:sz w:val="16"/>
          <w:szCs w:val="16"/>
        </w:rPr>
        <w:t>, 29(2), 141-156</w:t>
      </w:r>
      <w:r>
        <w:rPr>
          <w:rFonts w:ascii="CG Times" w:hAnsi="CG Times"/>
          <w:sz w:val="16"/>
          <w:szCs w:val="16"/>
        </w:rPr>
        <w:t>.</w:t>
      </w:r>
    </w:p>
  </w:endnote>
  <w:endnote w:id="8">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Alzheimer’s Association. (2012). </w:t>
      </w:r>
      <w:r>
        <w:rPr>
          <w:sz w:val="16"/>
          <w:szCs w:val="16"/>
        </w:rPr>
        <w:t>“</w:t>
      </w:r>
      <w:r w:rsidRPr="00E8215F">
        <w:rPr>
          <w:sz w:val="16"/>
          <w:szCs w:val="16"/>
        </w:rPr>
        <w:t>2012 Alzheimer’s disease facts and figures.</w:t>
      </w:r>
      <w:r>
        <w:rPr>
          <w:sz w:val="16"/>
          <w:szCs w:val="16"/>
        </w:rPr>
        <w:t>”</w:t>
      </w:r>
      <w:r w:rsidRPr="00E8215F">
        <w:rPr>
          <w:sz w:val="16"/>
          <w:szCs w:val="16"/>
        </w:rPr>
        <w:t xml:space="preserve"> </w:t>
      </w:r>
      <w:r w:rsidRPr="00E8215F">
        <w:rPr>
          <w:i/>
          <w:sz w:val="16"/>
          <w:szCs w:val="16"/>
        </w:rPr>
        <w:t>Alzheimer’s &amp; Dementia, 8</w:t>
      </w:r>
      <w:r w:rsidRPr="00E8215F">
        <w:rPr>
          <w:sz w:val="16"/>
          <w:szCs w:val="16"/>
        </w:rPr>
        <w:t xml:space="preserve">(2): 131-168.  </w:t>
      </w:r>
    </w:p>
  </w:endnote>
  <w:endnote w:id="9">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Alzheimer’s Association. (2012). </w:t>
      </w:r>
      <w:r>
        <w:rPr>
          <w:sz w:val="16"/>
          <w:szCs w:val="16"/>
        </w:rPr>
        <w:t>“</w:t>
      </w:r>
      <w:r w:rsidRPr="00E8215F">
        <w:rPr>
          <w:sz w:val="16"/>
          <w:szCs w:val="16"/>
        </w:rPr>
        <w:t>2012 Alzheimer’s disease facts and figures.</w:t>
      </w:r>
      <w:r>
        <w:rPr>
          <w:sz w:val="16"/>
          <w:szCs w:val="16"/>
        </w:rPr>
        <w:t>”</w:t>
      </w:r>
      <w:r w:rsidRPr="00E8215F">
        <w:rPr>
          <w:sz w:val="16"/>
          <w:szCs w:val="16"/>
        </w:rPr>
        <w:t xml:space="preserve"> </w:t>
      </w:r>
      <w:r w:rsidRPr="00E8215F">
        <w:rPr>
          <w:i/>
          <w:sz w:val="16"/>
          <w:szCs w:val="16"/>
        </w:rPr>
        <w:t>Alzheimer’s &amp; Dementia, 8</w:t>
      </w:r>
      <w:r>
        <w:rPr>
          <w:sz w:val="16"/>
          <w:szCs w:val="16"/>
        </w:rPr>
        <w:t xml:space="preserve">(2): 131-168. </w:t>
      </w:r>
    </w:p>
  </w:endnote>
  <w:endnote w:id="10">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Husband, H. J. (2000). </w:t>
      </w:r>
      <w:r>
        <w:rPr>
          <w:sz w:val="16"/>
          <w:szCs w:val="16"/>
        </w:rPr>
        <w:t>“</w:t>
      </w:r>
      <w:r w:rsidRPr="00E8215F">
        <w:rPr>
          <w:sz w:val="16"/>
          <w:szCs w:val="16"/>
        </w:rPr>
        <w:t>Diagnostic disclosure in dementia: An opportunity for intervention?</w:t>
      </w:r>
      <w:r>
        <w:rPr>
          <w:sz w:val="16"/>
          <w:szCs w:val="16"/>
        </w:rPr>
        <w:t>”</w:t>
      </w:r>
      <w:r w:rsidRPr="00E8215F">
        <w:rPr>
          <w:sz w:val="16"/>
          <w:szCs w:val="16"/>
        </w:rPr>
        <w:t xml:space="preserve"> </w:t>
      </w:r>
      <w:r w:rsidRPr="00E8215F">
        <w:rPr>
          <w:i/>
          <w:sz w:val="16"/>
          <w:szCs w:val="16"/>
        </w:rPr>
        <w:t>International Journal of Geriatric Psychiatry, 15</w:t>
      </w:r>
      <w:r w:rsidRPr="00E8215F">
        <w:rPr>
          <w:sz w:val="16"/>
          <w:szCs w:val="16"/>
        </w:rPr>
        <w:t>: 544-547.</w:t>
      </w:r>
    </w:p>
  </w:endnote>
  <w:endnote w:id="11">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Harris Interactive for MetLife Foundation. (2011). </w:t>
      </w:r>
      <w:r>
        <w:rPr>
          <w:sz w:val="16"/>
          <w:szCs w:val="16"/>
        </w:rPr>
        <w:t>“</w:t>
      </w:r>
      <w:r w:rsidRPr="00E8215F">
        <w:rPr>
          <w:sz w:val="16"/>
          <w:szCs w:val="16"/>
        </w:rPr>
        <w:t>What America thinks: MetLife Foundation Alzheimer’s survey.</w:t>
      </w:r>
      <w:r>
        <w:rPr>
          <w:sz w:val="16"/>
          <w:szCs w:val="16"/>
        </w:rPr>
        <w:t>”</w:t>
      </w:r>
      <w:r w:rsidRPr="00E8215F">
        <w:rPr>
          <w:sz w:val="16"/>
          <w:szCs w:val="16"/>
        </w:rPr>
        <w:t xml:space="preserve"> Retrieved from </w:t>
      </w:r>
      <w:hyperlink r:id="rId1" w:history="1">
        <w:r w:rsidRPr="00E8215F">
          <w:rPr>
            <w:rStyle w:val="Hyperlink"/>
            <w:sz w:val="16"/>
            <w:szCs w:val="16"/>
          </w:rPr>
          <w:t>http://www.metlife.com/assets/cao/contributions/foundation/alzheimers-2011.pdf</w:t>
        </w:r>
      </w:hyperlink>
      <w:r w:rsidRPr="00E8215F">
        <w:rPr>
          <w:sz w:val="16"/>
          <w:szCs w:val="16"/>
        </w:rPr>
        <w:t xml:space="preserve">; Larson, J. E., &amp; Corrigan, P. (2008). </w:t>
      </w:r>
      <w:r>
        <w:rPr>
          <w:sz w:val="16"/>
          <w:szCs w:val="16"/>
        </w:rPr>
        <w:t>“</w:t>
      </w:r>
      <w:r w:rsidRPr="00E8215F">
        <w:rPr>
          <w:sz w:val="16"/>
          <w:szCs w:val="16"/>
        </w:rPr>
        <w:t>The stigma of families with mental illness.</w:t>
      </w:r>
      <w:r>
        <w:rPr>
          <w:sz w:val="16"/>
          <w:szCs w:val="16"/>
        </w:rPr>
        <w:t>”</w:t>
      </w:r>
      <w:r w:rsidRPr="00E8215F">
        <w:rPr>
          <w:sz w:val="16"/>
          <w:szCs w:val="16"/>
        </w:rPr>
        <w:t xml:space="preserve"> </w:t>
      </w:r>
      <w:r w:rsidRPr="00E8215F">
        <w:rPr>
          <w:i/>
          <w:sz w:val="16"/>
          <w:szCs w:val="16"/>
        </w:rPr>
        <w:t>Academic Psychiatry, 32</w:t>
      </w:r>
      <w:r w:rsidRPr="00E8215F">
        <w:rPr>
          <w:sz w:val="16"/>
          <w:szCs w:val="16"/>
        </w:rPr>
        <w:t>(2): 87-9</w:t>
      </w:r>
      <w:r>
        <w:rPr>
          <w:sz w:val="16"/>
          <w:szCs w:val="16"/>
        </w:rPr>
        <w:t>1.</w:t>
      </w:r>
    </w:p>
  </w:endnote>
  <w:endnote w:id="12">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Chien, L., Chu, H., Guo, J., Liao, Y., Chang, L., Chen, C., &amp; Chou, K. (2011). </w:t>
      </w:r>
      <w:r>
        <w:rPr>
          <w:sz w:val="16"/>
          <w:szCs w:val="16"/>
        </w:rPr>
        <w:t>“</w:t>
      </w:r>
      <w:r w:rsidRPr="00E8215F">
        <w:rPr>
          <w:sz w:val="16"/>
          <w:szCs w:val="16"/>
        </w:rPr>
        <w:t>Caregiver support grou</w:t>
      </w:r>
      <w:r>
        <w:rPr>
          <w:sz w:val="16"/>
          <w:szCs w:val="16"/>
        </w:rPr>
        <w:t xml:space="preserve">ps in patients with dementia: A </w:t>
      </w:r>
      <w:r w:rsidRPr="00E8215F">
        <w:rPr>
          <w:sz w:val="16"/>
          <w:szCs w:val="16"/>
        </w:rPr>
        <w:t>meta-analysis.</w:t>
      </w:r>
      <w:r>
        <w:rPr>
          <w:sz w:val="16"/>
          <w:szCs w:val="16"/>
        </w:rPr>
        <w:t>”</w:t>
      </w:r>
      <w:r w:rsidRPr="00E8215F">
        <w:rPr>
          <w:sz w:val="16"/>
          <w:szCs w:val="16"/>
        </w:rPr>
        <w:t xml:space="preserve"> </w:t>
      </w:r>
      <w:r w:rsidRPr="00E8215F">
        <w:rPr>
          <w:i/>
          <w:sz w:val="16"/>
          <w:szCs w:val="16"/>
        </w:rPr>
        <w:t>International Journal Of Geriatric Psychiatry, 26</w:t>
      </w:r>
      <w:r w:rsidRPr="00E8215F">
        <w:rPr>
          <w:sz w:val="16"/>
          <w:szCs w:val="16"/>
        </w:rPr>
        <w:t xml:space="preserve">(10): 1089-1098.  Gaugler, J. E., Gallagher-Winker, K., </w:t>
      </w:r>
      <w:proofErr w:type="spellStart"/>
      <w:r w:rsidRPr="00E8215F">
        <w:rPr>
          <w:sz w:val="16"/>
          <w:szCs w:val="16"/>
        </w:rPr>
        <w:t>Kehrberg</w:t>
      </w:r>
      <w:proofErr w:type="spellEnd"/>
      <w:r w:rsidRPr="00E8215F">
        <w:rPr>
          <w:sz w:val="16"/>
          <w:szCs w:val="16"/>
        </w:rPr>
        <w:t xml:space="preserve">, K., </w:t>
      </w:r>
      <w:proofErr w:type="spellStart"/>
      <w:r w:rsidRPr="00E8215F">
        <w:rPr>
          <w:sz w:val="16"/>
          <w:szCs w:val="16"/>
        </w:rPr>
        <w:t>Lunde</w:t>
      </w:r>
      <w:proofErr w:type="spellEnd"/>
      <w:r w:rsidRPr="00E8215F">
        <w:rPr>
          <w:sz w:val="16"/>
          <w:szCs w:val="16"/>
        </w:rPr>
        <w:t xml:space="preserve">, A. M., </w:t>
      </w:r>
      <w:proofErr w:type="spellStart"/>
      <w:r w:rsidRPr="00E8215F">
        <w:rPr>
          <w:sz w:val="16"/>
          <w:szCs w:val="16"/>
        </w:rPr>
        <w:t>Marsolek</w:t>
      </w:r>
      <w:proofErr w:type="spellEnd"/>
      <w:r w:rsidRPr="00E8215F">
        <w:rPr>
          <w:sz w:val="16"/>
          <w:szCs w:val="16"/>
        </w:rPr>
        <w:t xml:space="preserve">, C. M., </w:t>
      </w:r>
      <w:proofErr w:type="spellStart"/>
      <w:r w:rsidRPr="00E8215F">
        <w:rPr>
          <w:sz w:val="16"/>
          <w:szCs w:val="16"/>
        </w:rPr>
        <w:t>Ringham</w:t>
      </w:r>
      <w:proofErr w:type="spellEnd"/>
      <w:r w:rsidRPr="00E8215F">
        <w:rPr>
          <w:sz w:val="16"/>
          <w:szCs w:val="16"/>
        </w:rPr>
        <w:t xml:space="preserve">, K., &amp; ... Barclay, M. (2011). </w:t>
      </w:r>
      <w:r>
        <w:rPr>
          <w:sz w:val="16"/>
          <w:szCs w:val="16"/>
        </w:rPr>
        <w:t>“</w:t>
      </w:r>
      <w:r w:rsidRPr="00E8215F">
        <w:rPr>
          <w:sz w:val="16"/>
          <w:szCs w:val="16"/>
        </w:rPr>
        <w:t>The Memory Club: Providing support to persons with early-stage dementia and their care partners.</w:t>
      </w:r>
      <w:r>
        <w:rPr>
          <w:sz w:val="16"/>
          <w:szCs w:val="16"/>
        </w:rPr>
        <w:t>”</w:t>
      </w:r>
      <w:r w:rsidRPr="00E8215F">
        <w:rPr>
          <w:sz w:val="16"/>
          <w:szCs w:val="16"/>
        </w:rPr>
        <w:t xml:space="preserve"> </w:t>
      </w:r>
      <w:r>
        <w:rPr>
          <w:i/>
          <w:sz w:val="16"/>
          <w:szCs w:val="16"/>
        </w:rPr>
        <w:t>American Journal Of Alzheimer’</w:t>
      </w:r>
      <w:r w:rsidRPr="00E8215F">
        <w:rPr>
          <w:i/>
          <w:sz w:val="16"/>
          <w:szCs w:val="16"/>
        </w:rPr>
        <w:t>s Disease And Other Dementias, 26</w:t>
      </w:r>
      <w:r w:rsidRPr="00E8215F">
        <w:rPr>
          <w:sz w:val="16"/>
          <w:szCs w:val="16"/>
        </w:rPr>
        <w:t>(3): 218-226.</w:t>
      </w:r>
    </w:p>
  </w:endnote>
  <w:endnote w:id="13">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Schulz, R. &amp; Beach, S. R. (1999). </w:t>
      </w:r>
      <w:r>
        <w:rPr>
          <w:sz w:val="16"/>
          <w:szCs w:val="16"/>
        </w:rPr>
        <w:t>“</w:t>
      </w:r>
      <w:r w:rsidRPr="00E8215F">
        <w:rPr>
          <w:sz w:val="16"/>
          <w:szCs w:val="16"/>
        </w:rPr>
        <w:t>Caregiving as a risk factor for mortality: The caregiver health effects study.</w:t>
      </w:r>
      <w:r>
        <w:rPr>
          <w:sz w:val="16"/>
          <w:szCs w:val="16"/>
        </w:rPr>
        <w:t>”</w:t>
      </w:r>
      <w:r w:rsidRPr="00E8215F">
        <w:rPr>
          <w:sz w:val="16"/>
          <w:szCs w:val="16"/>
        </w:rPr>
        <w:t xml:space="preserve"> </w:t>
      </w:r>
      <w:r w:rsidRPr="00E8215F">
        <w:rPr>
          <w:i/>
          <w:iCs/>
          <w:sz w:val="16"/>
          <w:szCs w:val="16"/>
        </w:rPr>
        <w:t>Journal of the American Medical Association</w:t>
      </w:r>
      <w:r w:rsidRPr="00E8215F">
        <w:rPr>
          <w:sz w:val="16"/>
          <w:szCs w:val="16"/>
        </w:rPr>
        <w:t xml:space="preserve">, </w:t>
      </w:r>
      <w:r w:rsidRPr="00E8215F">
        <w:rPr>
          <w:i/>
          <w:sz w:val="16"/>
          <w:szCs w:val="16"/>
        </w:rPr>
        <w:t>282</w:t>
      </w:r>
      <w:r w:rsidRPr="00E8215F">
        <w:rPr>
          <w:sz w:val="16"/>
          <w:szCs w:val="16"/>
        </w:rPr>
        <w:t>: 2215-2219.</w:t>
      </w:r>
    </w:p>
  </w:endnote>
  <w:endnote w:id="14">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Gaugler, J. E., Gallagher-Winker, K., </w:t>
      </w:r>
      <w:proofErr w:type="spellStart"/>
      <w:r w:rsidRPr="00E8215F">
        <w:rPr>
          <w:sz w:val="16"/>
          <w:szCs w:val="16"/>
        </w:rPr>
        <w:t>Kehrberg</w:t>
      </w:r>
      <w:proofErr w:type="spellEnd"/>
      <w:r w:rsidRPr="00E8215F">
        <w:rPr>
          <w:sz w:val="16"/>
          <w:szCs w:val="16"/>
        </w:rPr>
        <w:t xml:space="preserve">, K., </w:t>
      </w:r>
      <w:proofErr w:type="spellStart"/>
      <w:r w:rsidRPr="00E8215F">
        <w:rPr>
          <w:sz w:val="16"/>
          <w:szCs w:val="16"/>
        </w:rPr>
        <w:t>Lunde</w:t>
      </w:r>
      <w:proofErr w:type="spellEnd"/>
      <w:r w:rsidRPr="00E8215F">
        <w:rPr>
          <w:sz w:val="16"/>
          <w:szCs w:val="16"/>
        </w:rPr>
        <w:t xml:space="preserve">, A. M., </w:t>
      </w:r>
      <w:proofErr w:type="spellStart"/>
      <w:r w:rsidRPr="00E8215F">
        <w:rPr>
          <w:sz w:val="16"/>
          <w:szCs w:val="16"/>
        </w:rPr>
        <w:t>Marsolek</w:t>
      </w:r>
      <w:proofErr w:type="spellEnd"/>
      <w:r w:rsidRPr="00E8215F">
        <w:rPr>
          <w:sz w:val="16"/>
          <w:szCs w:val="16"/>
        </w:rPr>
        <w:t xml:space="preserve">, C. M., </w:t>
      </w:r>
      <w:proofErr w:type="spellStart"/>
      <w:r w:rsidRPr="00E8215F">
        <w:rPr>
          <w:sz w:val="16"/>
          <w:szCs w:val="16"/>
        </w:rPr>
        <w:t>Ringham</w:t>
      </w:r>
      <w:proofErr w:type="spellEnd"/>
      <w:r w:rsidRPr="00E8215F">
        <w:rPr>
          <w:sz w:val="16"/>
          <w:szCs w:val="16"/>
        </w:rPr>
        <w:t>, K.</w:t>
      </w:r>
      <w:r>
        <w:rPr>
          <w:sz w:val="16"/>
          <w:szCs w:val="16"/>
        </w:rPr>
        <w:t>, &amp; ... Barclay, M. (2011). “The </w:t>
      </w:r>
      <w:r w:rsidRPr="00E8215F">
        <w:rPr>
          <w:sz w:val="16"/>
          <w:szCs w:val="16"/>
        </w:rPr>
        <w:t>Memory Club: Providing support to persons with early-stage dementia and their care partners.</w:t>
      </w:r>
      <w:r>
        <w:rPr>
          <w:sz w:val="16"/>
          <w:szCs w:val="16"/>
        </w:rPr>
        <w:t>”</w:t>
      </w:r>
      <w:r w:rsidRPr="00E8215F">
        <w:rPr>
          <w:sz w:val="16"/>
          <w:szCs w:val="16"/>
        </w:rPr>
        <w:t xml:space="preserve"> </w:t>
      </w:r>
      <w:r w:rsidRPr="00E8215F">
        <w:rPr>
          <w:i/>
          <w:sz w:val="16"/>
          <w:szCs w:val="16"/>
        </w:rPr>
        <w:t>Ameri</w:t>
      </w:r>
      <w:r>
        <w:rPr>
          <w:i/>
          <w:sz w:val="16"/>
          <w:szCs w:val="16"/>
        </w:rPr>
        <w:t>can Journal Of Alzheimer’</w:t>
      </w:r>
      <w:r w:rsidRPr="00E8215F">
        <w:rPr>
          <w:i/>
          <w:sz w:val="16"/>
          <w:szCs w:val="16"/>
        </w:rPr>
        <w:t>s Disease And Other Dementias, 26</w:t>
      </w:r>
      <w:r w:rsidRPr="00E8215F">
        <w:rPr>
          <w:sz w:val="16"/>
          <w:szCs w:val="16"/>
        </w:rPr>
        <w:t>(3): 218-226.</w:t>
      </w:r>
    </w:p>
  </w:endnote>
  <w:endnote w:id="15">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van </w:t>
      </w:r>
      <w:proofErr w:type="spellStart"/>
      <w:r w:rsidRPr="00E8215F">
        <w:rPr>
          <w:sz w:val="16"/>
          <w:szCs w:val="16"/>
        </w:rPr>
        <w:t>Vliet</w:t>
      </w:r>
      <w:proofErr w:type="spellEnd"/>
      <w:r w:rsidRPr="00E8215F">
        <w:rPr>
          <w:sz w:val="16"/>
          <w:szCs w:val="16"/>
        </w:rPr>
        <w:t xml:space="preserve">, D., de </w:t>
      </w:r>
      <w:proofErr w:type="spellStart"/>
      <w:r w:rsidRPr="00E8215F">
        <w:rPr>
          <w:sz w:val="16"/>
          <w:szCs w:val="16"/>
        </w:rPr>
        <w:t>Vugt</w:t>
      </w:r>
      <w:proofErr w:type="spellEnd"/>
      <w:r w:rsidRPr="00E8215F">
        <w:rPr>
          <w:sz w:val="16"/>
          <w:szCs w:val="16"/>
        </w:rPr>
        <w:t xml:space="preserve">, M. E., Bakker, C., Koopmans, R. M., &amp; </w:t>
      </w:r>
      <w:proofErr w:type="spellStart"/>
      <w:r w:rsidRPr="00E8215F">
        <w:rPr>
          <w:sz w:val="16"/>
          <w:szCs w:val="16"/>
        </w:rPr>
        <w:t>Verhey</w:t>
      </w:r>
      <w:proofErr w:type="spellEnd"/>
      <w:r w:rsidRPr="00E8215F">
        <w:rPr>
          <w:sz w:val="16"/>
          <w:szCs w:val="16"/>
        </w:rPr>
        <w:t xml:space="preserve">, F. J. (2010). </w:t>
      </w:r>
      <w:r>
        <w:rPr>
          <w:sz w:val="16"/>
          <w:szCs w:val="16"/>
        </w:rPr>
        <w:t>“</w:t>
      </w:r>
      <w:r w:rsidRPr="00E8215F">
        <w:rPr>
          <w:sz w:val="16"/>
          <w:szCs w:val="16"/>
        </w:rPr>
        <w:t xml:space="preserve">Impact of early </w:t>
      </w:r>
      <w:r>
        <w:rPr>
          <w:sz w:val="16"/>
          <w:szCs w:val="16"/>
        </w:rPr>
        <w:t>onset dementia on caregivers: A </w:t>
      </w:r>
      <w:r w:rsidRPr="00E8215F">
        <w:rPr>
          <w:sz w:val="16"/>
          <w:szCs w:val="16"/>
        </w:rPr>
        <w:t>review.</w:t>
      </w:r>
      <w:r>
        <w:rPr>
          <w:sz w:val="16"/>
          <w:szCs w:val="16"/>
        </w:rPr>
        <w:t>”</w:t>
      </w:r>
      <w:r w:rsidRPr="00E8215F">
        <w:rPr>
          <w:sz w:val="16"/>
          <w:szCs w:val="16"/>
        </w:rPr>
        <w:t xml:space="preserve"> </w:t>
      </w:r>
      <w:r w:rsidRPr="00E8215F">
        <w:rPr>
          <w:i/>
          <w:sz w:val="16"/>
          <w:szCs w:val="16"/>
        </w:rPr>
        <w:t>International Journal Of Geriatric Psychiatry, 25</w:t>
      </w:r>
      <w:r w:rsidRPr="00E8215F">
        <w:rPr>
          <w:sz w:val="16"/>
          <w:szCs w:val="16"/>
        </w:rPr>
        <w:t>(11): 1091-1100.</w:t>
      </w:r>
    </w:p>
  </w:endnote>
  <w:endnote w:id="16">
    <w:p w:rsidR="00485385" w:rsidRPr="00E8215F" w:rsidRDefault="00485385" w:rsidP="00F7291D">
      <w:pPr>
        <w:pStyle w:val="EndnoteText"/>
        <w:jc w:val="both"/>
        <w:rPr>
          <w:sz w:val="16"/>
          <w:szCs w:val="16"/>
        </w:rPr>
      </w:pPr>
      <w:r w:rsidRPr="00E8215F">
        <w:rPr>
          <w:rStyle w:val="EndnoteReference"/>
          <w:rFonts w:eastAsiaTheme="majorEastAsia"/>
          <w:sz w:val="16"/>
          <w:szCs w:val="16"/>
        </w:rPr>
        <w:endnoteRef/>
      </w:r>
      <w:r>
        <w:rPr>
          <w:sz w:val="16"/>
          <w:szCs w:val="16"/>
        </w:rPr>
        <w:t> </w:t>
      </w:r>
      <w:r w:rsidRPr="00F03D6A">
        <w:rPr>
          <w:sz w:val="16"/>
          <w:szCs w:val="16"/>
        </w:rPr>
        <w:t xml:space="preserve">Center on an Aging Society. (2003). </w:t>
      </w:r>
      <w:r>
        <w:rPr>
          <w:sz w:val="16"/>
          <w:szCs w:val="16"/>
        </w:rPr>
        <w:t>“</w:t>
      </w:r>
      <w:r w:rsidRPr="00F03D6A">
        <w:rPr>
          <w:sz w:val="16"/>
          <w:szCs w:val="16"/>
        </w:rPr>
        <w:t>Older Hispanic Americans: Less care for chronic conditions.</w:t>
      </w:r>
      <w:r>
        <w:rPr>
          <w:sz w:val="16"/>
          <w:szCs w:val="16"/>
        </w:rPr>
        <w:t>”</w:t>
      </w:r>
      <w:r w:rsidRPr="00F03D6A">
        <w:rPr>
          <w:sz w:val="16"/>
          <w:szCs w:val="16"/>
        </w:rPr>
        <w:t xml:space="preserve"> Retrieved from: </w:t>
      </w:r>
      <w:hyperlink r:id="rId2" w:history="1">
        <w:r w:rsidRPr="00F03D6A">
          <w:rPr>
            <w:rStyle w:val="Hyperlink"/>
            <w:sz w:val="16"/>
            <w:szCs w:val="16"/>
          </w:rPr>
          <w:t>http://ihcrp.georgetown.edu/agingsociety/pdfs/hispanics.pdf</w:t>
        </w:r>
      </w:hyperlink>
      <w:r>
        <w:rPr>
          <w:rStyle w:val="Hyperlink"/>
          <w:sz w:val="16"/>
          <w:szCs w:val="16"/>
        </w:rPr>
        <w:t xml:space="preserve">. </w:t>
      </w:r>
      <w:r w:rsidRPr="00E8215F">
        <w:rPr>
          <w:sz w:val="16"/>
          <w:szCs w:val="16"/>
        </w:rPr>
        <w:t xml:space="preserve">Zuckerman, I. H., Ryder, P. T., </w:t>
      </w:r>
      <w:proofErr w:type="spellStart"/>
      <w:r w:rsidRPr="00E8215F">
        <w:rPr>
          <w:sz w:val="16"/>
          <w:szCs w:val="16"/>
        </w:rPr>
        <w:t>Simoni-Wast</w:t>
      </w:r>
      <w:r>
        <w:rPr>
          <w:sz w:val="16"/>
          <w:szCs w:val="16"/>
        </w:rPr>
        <w:t>ila</w:t>
      </w:r>
      <w:proofErr w:type="spellEnd"/>
      <w:r>
        <w:rPr>
          <w:sz w:val="16"/>
          <w:szCs w:val="16"/>
        </w:rPr>
        <w:t>, L., Shaffer, T., Sato, M., </w:t>
      </w:r>
      <w:r w:rsidRPr="00E8215F">
        <w:rPr>
          <w:sz w:val="16"/>
          <w:szCs w:val="16"/>
        </w:rPr>
        <w:t xml:space="preserve">Zhao, L., &amp; Stuart, B. (2008). </w:t>
      </w:r>
      <w:r>
        <w:rPr>
          <w:sz w:val="16"/>
          <w:szCs w:val="16"/>
        </w:rPr>
        <w:t>“</w:t>
      </w:r>
      <w:r w:rsidRPr="00E8215F">
        <w:rPr>
          <w:sz w:val="16"/>
          <w:szCs w:val="16"/>
        </w:rPr>
        <w:t>Racial and ethnic disparities in the treatment of dementia among Medicare beneficiaries.</w:t>
      </w:r>
      <w:r>
        <w:rPr>
          <w:sz w:val="16"/>
          <w:szCs w:val="16"/>
        </w:rPr>
        <w:t>”</w:t>
      </w:r>
      <w:r w:rsidRPr="00E8215F">
        <w:rPr>
          <w:sz w:val="16"/>
          <w:szCs w:val="16"/>
        </w:rPr>
        <w:t xml:space="preserve"> </w:t>
      </w:r>
      <w:r w:rsidRPr="00E8215F">
        <w:rPr>
          <w:i/>
          <w:sz w:val="16"/>
          <w:szCs w:val="16"/>
        </w:rPr>
        <w:t>The Journals Of Gerontology: Series B: Psychological Sciences And Social Sciences, 63B</w:t>
      </w:r>
      <w:r w:rsidRPr="00E8215F">
        <w:rPr>
          <w:sz w:val="16"/>
          <w:szCs w:val="16"/>
        </w:rPr>
        <w:t>(5): S328-S333.</w:t>
      </w:r>
    </w:p>
  </w:endnote>
  <w:endnote w:id="17">
    <w:p w:rsidR="00485385" w:rsidRDefault="00485385" w:rsidP="00F7291D">
      <w:pPr>
        <w:pStyle w:val="EndnoteText"/>
        <w:jc w:val="both"/>
        <w:rPr>
          <w:sz w:val="16"/>
          <w:szCs w:val="16"/>
        </w:rPr>
      </w:pPr>
      <w:r w:rsidRPr="00E8215F">
        <w:rPr>
          <w:rStyle w:val="EndnoteReference"/>
          <w:rFonts w:eastAsiaTheme="majorEastAsia"/>
          <w:sz w:val="16"/>
          <w:szCs w:val="16"/>
        </w:rPr>
        <w:endnoteRef/>
      </w:r>
      <w:r>
        <w:rPr>
          <w:sz w:val="16"/>
          <w:szCs w:val="16"/>
        </w:rPr>
        <w:t xml:space="preserve"> Evercare &amp; </w:t>
      </w:r>
      <w:r w:rsidRPr="00E8215F">
        <w:rPr>
          <w:sz w:val="16"/>
          <w:szCs w:val="16"/>
        </w:rPr>
        <w:t xml:space="preserve">National Alliance for Caregiving. (2008). </w:t>
      </w:r>
      <w:r>
        <w:rPr>
          <w:sz w:val="16"/>
          <w:szCs w:val="16"/>
        </w:rPr>
        <w:t>“</w:t>
      </w:r>
      <w:r w:rsidRPr="00E8215F">
        <w:rPr>
          <w:sz w:val="16"/>
          <w:szCs w:val="16"/>
        </w:rPr>
        <w:t>Evercare study of Hispanic family caregiving in the U.S.</w:t>
      </w:r>
      <w:r>
        <w:rPr>
          <w:sz w:val="16"/>
          <w:szCs w:val="16"/>
        </w:rPr>
        <w:t>”</w:t>
      </w:r>
      <w:r w:rsidRPr="00E8215F">
        <w:rPr>
          <w:sz w:val="16"/>
          <w:szCs w:val="16"/>
        </w:rPr>
        <w:t xml:space="preserve"> Retrieved from </w:t>
      </w:r>
      <w:hyperlink r:id="rId3" w:history="1">
        <w:r w:rsidRPr="009C15FE">
          <w:rPr>
            <w:rStyle w:val="Hyperlink"/>
            <w:sz w:val="16"/>
            <w:szCs w:val="16"/>
          </w:rPr>
          <w:t>http://www.caregiving.org/data/Hispanic_Caregiver_Study_web_ENG_FINAL _11_04_08.pdf</w:t>
        </w:r>
      </w:hyperlink>
    </w:p>
    <w:p w:rsidR="00485385" w:rsidRPr="00E8215F" w:rsidRDefault="00485385" w:rsidP="00F7291D">
      <w:pPr>
        <w:pStyle w:val="EndnoteText"/>
        <w:jc w:val="both"/>
        <w:rPr>
          <w:sz w:val="16"/>
          <w:szCs w:val="16"/>
        </w:rPr>
      </w:pPr>
      <w:r>
        <w:rPr>
          <w:sz w:val="16"/>
          <w:szCs w:val="16"/>
        </w:rPr>
        <w:t>iii</w:t>
      </w:r>
      <w:r w:rsidRPr="009A2B83">
        <w:rPr>
          <w:sz w:val="16"/>
          <w:szCs w:val="16"/>
        </w:rPr>
        <w:t xml:space="preserve">       </w:t>
      </w:r>
      <w:proofErr w:type="spellStart"/>
      <w:r w:rsidRPr="009A2B83">
        <w:rPr>
          <w:sz w:val="16"/>
          <w:szCs w:val="16"/>
        </w:rPr>
        <w:t>Borrayo</w:t>
      </w:r>
      <w:proofErr w:type="spellEnd"/>
      <w:r w:rsidRPr="009A2B83">
        <w:rPr>
          <w:sz w:val="16"/>
          <w:szCs w:val="16"/>
        </w:rPr>
        <w:t xml:space="preserve">, </w:t>
      </w:r>
      <w:proofErr w:type="spellStart"/>
      <w:r w:rsidRPr="009A2B83">
        <w:rPr>
          <w:sz w:val="16"/>
          <w:szCs w:val="16"/>
        </w:rPr>
        <w:t>Goldwaser</w:t>
      </w:r>
      <w:proofErr w:type="spellEnd"/>
      <w:r w:rsidRPr="009A2B83">
        <w:rPr>
          <w:sz w:val="16"/>
          <w:szCs w:val="16"/>
        </w:rPr>
        <w:t xml:space="preserve">, </w:t>
      </w:r>
      <w:proofErr w:type="spellStart"/>
      <w:r w:rsidRPr="009A2B83">
        <w:rPr>
          <w:sz w:val="16"/>
          <w:szCs w:val="16"/>
        </w:rPr>
        <w:t>Vacha-Haase</w:t>
      </w:r>
      <w:proofErr w:type="spellEnd"/>
      <w:r w:rsidRPr="009A2B83">
        <w:rPr>
          <w:sz w:val="16"/>
          <w:szCs w:val="16"/>
        </w:rPr>
        <w:t>, &amp; Hepburn (2007)</w:t>
      </w:r>
    </w:p>
  </w:endnote>
  <w:endnote w:id="18">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Alzheimer’s Association. (2012). </w:t>
      </w:r>
      <w:r>
        <w:rPr>
          <w:sz w:val="16"/>
          <w:szCs w:val="16"/>
        </w:rPr>
        <w:t>“</w:t>
      </w:r>
      <w:r w:rsidRPr="00E8215F">
        <w:rPr>
          <w:sz w:val="16"/>
          <w:szCs w:val="16"/>
        </w:rPr>
        <w:t>2012 Alzheimer’s disease facts and figures.</w:t>
      </w:r>
      <w:r>
        <w:rPr>
          <w:sz w:val="16"/>
          <w:szCs w:val="16"/>
        </w:rPr>
        <w:t>”</w:t>
      </w:r>
      <w:r w:rsidRPr="00E8215F">
        <w:rPr>
          <w:sz w:val="16"/>
          <w:szCs w:val="16"/>
        </w:rPr>
        <w:t xml:space="preserve"> </w:t>
      </w:r>
      <w:r w:rsidRPr="00E8215F">
        <w:rPr>
          <w:i/>
          <w:sz w:val="16"/>
          <w:szCs w:val="16"/>
        </w:rPr>
        <w:t>Alzheimer’s &amp; Dementia, 8</w:t>
      </w:r>
      <w:r w:rsidRPr="00E8215F">
        <w:rPr>
          <w:sz w:val="16"/>
          <w:szCs w:val="16"/>
        </w:rPr>
        <w:t xml:space="preserve">(2): 131-168.  </w:t>
      </w:r>
    </w:p>
  </w:endnote>
  <w:endnote w:id="19">
    <w:p w:rsidR="00485385" w:rsidRPr="00E8215F" w:rsidRDefault="00485385" w:rsidP="00CF294A">
      <w:pPr>
        <w:pStyle w:val="NormalWeb"/>
        <w:jc w:val="both"/>
        <w:rPr>
          <w:rFonts w:ascii="CG Times" w:hAnsi="CG Times"/>
          <w:sz w:val="16"/>
          <w:szCs w:val="16"/>
        </w:rPr>
      </w:pPr>
      <w:r w:rsidRPr="00E8215F">
        <w:rPr>
          <w:rStyle w:val="EndnoteReference"/>
          <w:rFonts w:ascii="CG Times" w:hAnsi="CG Times"/>
          <w:sz w:val="16"/>
          <w:szCs w:val="16"/>
        </w:rPr>
        <w:endnoteRef/>
      </w:r>
      <w:r w:rsidRPr="00E8215F">
        <w:rPr>
          <w:rFonts w:ascii="CG Times" w:hAnsi="CG Times"/>
          <w:sz w:val="16"/>
          <w:szCs w:val="16"/>
        </w:rPr>
        <w:t xml:space="preserve"> </w:t>
      </w:r>
      <w:r w:rsidRPr="00623731">
        <w:rPr>
          <w:rFonts w:ascii="CG Times" w:hAnsi="CG Times"/>
          <w:i/>
          <w:sz w:val="16"/>
          <w:szCs w:val="16"/>
        </w:rPr>
        <w:t>Encyclopedia of Nursing &amp; Allied Health</w:t>
      </w:r>
      <w:r w:rsidRPr="00E8215F">
        <w:rPr>
          <w:rFonts w:ascii="CG Times" w:hAnsi="CG Times"/>
          <w:i/>
          <w:iCs/>
          <w:sz w:val="16"/>
          <w:szCs w:val="16"/>
        </w:rPr>
        <w:t xml:space="preserve">, 2002 Gale </w:t>
      </w:r>
      <w:proofErr w:type="spellStart"/>
      <w:r w:rsidRPr="00E8215F">
        <w:rPr>
          <w:rFonts w:ascii="CG Times" w:hAnsi="CG Times"/>
          <w:i/>
          <w:iCs/>
          <w:sz w:val="16"/>
          <w:szCs w:val="16"/>
        </w:rPr>
        <w:t>Cengage</w:t>
      </w:r>
      <w:proofErr w:type="spellEnd"/>
      <w:r w:rsidRPr="00E8215F">
        <w:rPr>
          <w:rFonts w:ascii="CG Times" w:hAnsi="CG Times"/>
          <w:i/>
          <w:iCs/>
          <w:sz w:val="16"/>
          <w:szCs w:val="16"/>
        </w:rPr>
        <w:t xml:space="preserve">. </w:t>
      </w:r>
    </w:p>
  </w:endnote>
  <w:endnote w:id="20">
    <w:p w:rsidR="00485385" w:rsidRPr="00E8215F" w:rsidRDefault="00485385" w:rsidP="005C5C6E">
      <w:pPr>
        <w:jc w:val="both"/>
        <w:rPr>
          <w:sz w:val="16"/>
          <w:szCs w:val="16"/>
        </w:rPr>
      </w:pPr>
      <w:r w:rsidRPr="00E8215F">
        <w:rPr>
          <w:rStyle w:val="EndnoteReference"/>
          <w:sz w:val="16"/>
          <w:szCs w:val="16"/>
        </w:rPr>
        <w:endnoteRef/>
      </w:r>
      <w:r w:rsidRPr="00E8215F">
        <w:rPr>
          <w:sz w:val="16"/>
          <w:szCs w:val="16"/>
        </w:rPr>
        <w:t xml:space="preserve"> </w:t>
      </w:r>
      <w:r>
        <w:rPr>
          <w:sz w:val="16"/>
          <w:szCs w:val="16"/>
        </w:rPr>
        <w:t>“</w:t>
      </w:r>
      <w:r w:rsidRPr="00E8215F">
        <w:rPr>
          <w:sz w:val="16"/>
          <w:szCs w:val="16"/>
        </w:rPr>
        <w:t>Alzheimer’s Research and Clinical Trials,</w:t>
      </w:r>
      <w:r>
        <w:rPr>
          <w:sz w:val="16"/>
          <w:szCs w:val="16"/>
        </w:rPr>
        <w:t>”</w:t>
      </w:r>
      <w:r w:rsidRPr="00E8215F">
        <w:rPr>
          <w:sz w:val="16"/>
          <w:szCs w:val="16"/>
        </w:rPr>
        <w:t xml:space="preserve"> Charles Bernick, M.D., </w:t>
      </w:r>
      <w:r>
        <w:rPr>
          <w:sz w:val="16"/>
          <w:szCs w:val="16"/>
        </w:rPr>
        <w:t>Associate Medical Director, Cleveland Clinic Lou Ruvo Center for Brain Health, presentation b</w:t>
      </w:r>
      <w:r w:rsidRPr="00E8215F">
        <w:rPr>
          <w:sz w:val="16"/>
          <w:szCs w:val="16"/>
        </w:rPr>
        <w:t xml:space="preserve">efore the </w:t>
      </w:r>
      <w:r w:rsidRPr="00E8215F">
        <w:rPr>
          <w:spacing w:val="3"/>
          <w:sz w:val="16"/>
          <w:szCs w:val="16"/>
        </w:rPr>
        <w:t>Legislative Committee on Health Care’s Task Force to Develop a State Plan to Address Alzheimer’s Disease</w:t>
      </w:r>
      <w:r w:rsidRPr="00E8215F">
        <w:rPr>
          <w:sz w:val="16"/>
          <w:szCs w:val="16"/>
        </w:rPr>
        <w:t xml:space="preserve"> (</w:t>
      </w:r>
      <w:r w:rsidRPr="00E8215F">
        <w:rPr>
          <w:spacing w:val="3"/>
          <w:sz w:val="16"/>
          <w:szCs w:val="16"/>
        </w:rPr>
        <w:t xml:space="preserve">Assembly Concurrent Resolution No. 10 [File No. 42, </w:t>
      </w:r>
      <w:r w:rsidRPr="00E8215F">
        <w:rPr>
          <w:i/>
          <w:spacing w:val="3"/>
          <w:sz w:val="16"/>
          <w:szCs w:val="16"/>
        </w:rPr>
        <w:t>Statutes of Nevada 2011</w:t>
      </w:r>
      <w:r w:rsidRPr="00E8215F">
        <w:rPr>
          <w:spacing w:val="3"/>
          <w:sz w:val="16"/>
          <w:szCs w:val="16"/>
        </w:rPr>
        <w:t>]</w:t>
      </w:r>
      <w:r w:rsidRPr="00E8215F">
        <w:rPr>
          <w:sz w:val="16"/>
          <w:szCs w:val="16"/>
        </w:rPr>
        <w:t>), June 13, 2012.</w:t>
      </w:r>
    </w:p>
  </w:endnote>
  <w:endnote w:id="21">
    <w:p w:rsidR="00485385" w:rsidRPr="00E8215F" w:rsidRDefault="00485385" w:rsidP="005C5C6E">
      <w:pPr>
        <w:pStyle w:val="EndnoteText"/>
        <w:jc w:val="both"/>
        <w:rPr>
          <w:sz w:val="16"/>
          <w:szCs w:val="16"/>
        </w:rPr>
      </w:pPr>
      <w:r w:rsidRPr="00E8215F">
        <w:rPr>
          <w:rStyle w:val="EndnoteReference"/>
          <w:sz w:val="16"/>
          <w:szCs w:val="16"/>
        </w:rPr>
        <w:endnoteRef/>
      </w:r>
      <w:r w:rsidRPr="00E8215F">
        <w:rPr>
          <w:sz w:val="16"/>
          <w:szCs w:val="16"/>
        </w:rPr>
        <w:t xml:space="preserve"> </w:t>
      </w:r>
      <w:r w:rsidRPr="00156594">
        <w:rPr>
          <w:i/>
          <w:sz w:val="16"/>
          <w:szCs w:val="16"/>
        </w:rPr>
        <w:t>National Plan to Address Alzheimer’s Disease</w:t>
      </w:r>
      <w:r w:rsidRPr="00E8215F">
        <w:rPr>
          <w:sz w:val="16"/>
          <w:szCs w:val="16"/>
        </w:rPr>
        <w:t>, U.S. Department of Health and Human Services, 2012</w:t>
      </w:r>
      <w:r>
        <w:rPr>
          <w:sz w:val="16"/>
          <w:szCs w:val="16"/>
        </w:rPr>
        <w:t>.</w:t>
      </w:r>
    </w:p>
  </w:endnote>
  <w:endnote w:id="22">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r>
        <w:rPr>
          <w:sz w:val="16"/>
          <w:szCs w:val="16"/>
        </w:rPr>
        <w:t>“</w:t>
      </w:r>
      <w:r w:rsidRPr="00E8215F">
        <w:rPr>
          <w:sz w:val="16"/>
          <w:szCs w:val="16"/>
        </w:rPr>
        <w:t>Alzheimer’s Research and Clinical Trials,</w:t>
      </w:r>
      <w:r>
        <w:rPr>
          <w:sz w:val="16"/>
          <w:szCs w:val="16"/>
        </w:rPr>
        <w:t>”</w:t>
      </w:r>
      <w:r w:rsidRPr="00E8215F">
        <w:rPr>
          <w:sz w:val="16"/>
          <w:szCs w:val="16"/>
        </w:rPr>
        <w:t xml:space="preserve"> Charles Bernick, M.D., </w:t>
      </w:r>
      <w:r>
        <w:rPr>
          <w:sz w:val="16"/>
          <w:szCs w:val="16"/>
        </w:rPr>
        <w:t>Associate Medical Director, Cleveland Clinic Lou Ruvo Center for Brain Health, presentation b</w:t>
      </w:r>
      <w:r w:rsidRPr="00E8215F">
        <w:rPr>
          <w:sz w:val="16"/>
          <w:szCs w:val="16"/>
        </w:rPr>
        <w:t xml:space="preserve">efore the </w:t>
      </w:r>
      <w:r w:rsidRPr="00E8215F">
        <w:rPr>
          <w:spacing w:val="3"/>
          <w:sz w:val="16"/>
          <w:szCs w:val="16"/>
        </w:rPr>
        <w:t>Legislative Committee on Health Care’s Task Force to Develop a State Plan to Address Alzheimer’s Disease</w:t>
      </w:r>
      <w:r w:rsidRPr="00E8215F">
        <w:rPr>
          <w:sz w:val="16"/>
          <w:szCs w:val="16"/>
        </w:rPr>
        <w:t xml:space="preserve"> (</w:t>
      </w:r>
      <w:r w:rsidRPr="00E8215F">
        <w:rPr>
          <w:spacing w:val="3"/>
          <w:sz w:val="16"/>
          <w:szCs w:val="16"/>
        </w:rPr>
        <w:t xml:space="preserve">Assembly Concurrent Resolution No. 10 [File No. 42, </w:t>
      </w:r>
      <w:r w:rsidRPr="00E8215F">
        <w:rPr>
          <w:i/>
          <w:spacing w:val="3"/>
          <w:sz w:val="16"/>
          <w:szCs w:val="16"/>
        </w:rPr>
        <w:t>Statutes of Nevada 2011</w:t>
      </w:r>
      <w:r w:rsidRPr="00E8215F">
        <w:rPr>
          <w:spacing w:val="3"/>
          <w:sz w:val="16"/>
          <w:szCs w:val="16"/>
        </w:rPr>
        <w:t>]</w:t>
      </w:r>
      <w:r w:rsidRPr="00E8215F">
        <w:rPr>
          <w:sz w:val="16"/>
          <w:szCs w:val="16"/>
        </w:rPr>
        <w:t>), June 13, 2012.</w:t>
      </w:r>
    </w:p>
  </w:endnote>
  <w:endnote w:id="23">
    <w:p w:rsidR="00485385" w:rsidRPr="00E8215F" w:rsidRDefault="00485385" w:rsidP="00CF294A">
      <w:pPr>
        <w:jc w:val="both"/>
        <w:rPr>
          <w:sz w:val="16"/>
          <w:szCs w:val="16"/>
        </w:rPr>
      </w:pPr>
      <w:r w:rsidRPr="00E8215F">
        <w:rPr>
          <w:rStyle w:val="EndnoteReference"/>
          <w:sz w:val="16"/>
          <w:szCs w:val="16"/>
        </w:rPr>
        <w:endnoteRef/>
      </w:r>
      <w:r>
        <w:rPr>
          <w:sz w:val="16"/>
          <w:szCs w:val="16"/>
        </w:rPr>
        <w:t xml:space="preserve"> Presentation concerning long-term care options for patients with Alzheimer’s d</w:t>
      </w:r>
      <w:r w:rsidRPr="00E8215F">
        <w:rPr>
          <w:sz w:val="16"/>
          <w:szCs w:val="16"/>
        </w:rPr>
        <w:t xml:space="preserve">isease, Wendy Simons, </w:t>
      </w:r>
      <w:r>
        <w:rPr>
          <w:sz w:val="16"/>
          <w:szCs w:val="16"/>
        </w:rPr>
        <w:t xml:space="preserve">Chief, Bureau of Health Care Quality and Compliance, Health Division, Department of Health and Human Services, shared before </w:t>
      </w:r>
      <w:r w:rsidRPr="00E8215F">
        <w:rPr>
          <w:sz w:val="16"/>
          <w:szCs w:val="16"/>
        </w:rPr>
        <w:t xml:space="preserve">the </w:t>
      </w:r>
      <w:r w:rsidRPr="00E8215F">
        <w:rPr>
          <w:spacing w:val="3"/>
          <w:sz w:val="16"/>
          <w:szCs w:val="16"/>
        </w:rPr>
        <w:t>Legislative Committee on Health Care’s Task Force to Develop a State Plan to Address Alzheimer’s Disease</w:t>
      </w:r>
      <w:r w:rsidRPr="00E8215F">
        <w:rPr>
          <w:sz w:val="16"/>
          <w:szCs w:val="16"/>
        </w:rPr>
        <w:t xml:space="preserve"> (</w:t>
      </w:r>
      <w:r w:rsidRPr="00E8215F">
        <w:rPr>
          <w:spacing w:val="3"/>
          <w:sz w:val="16"/>
          <w:szCs w:val="16"/>
        </w:rPr>
        <w:t xml:space="preserve">Assembly Concurrent Resolution No. 10 [File No. 42, </w:t>
      </w:r>
      <w:r w:rsidRPr="00E8215F">
        <w:rPr>
          <w:i/>
          <w:spacing w:val="3"/>
          <w:sz w:val="16"/>
          <w:szCs w:val="16"/>
        </w:rPr>
        <w:t>Statutes of Nevada 2011</w:t>
      </w:r>
      <w:r w:rsidRPr="00E8215F">
        <w:rPr>
          <w:spacing w:val="3"/>
          <w:sz w:val="16"/>
          <w:szCs w:val="16"/>
        </w:rPr>
        <w:t>]</w:t>
      </w:r>
      <w:r w:rsidRPr="00E8215F">
        <w:rPr>
          <w:sz w:val="16"/>
          <w:szCs w:val="16"/>
        </w:rPr>
        <w:t>), June 13, 2012.</w:t>
      </w:r>
    </w:p>
  </w:endnote>
  <w:endnote w:id="24">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w:t>
      </w:r>
      <w:r w:rsidRPr="00156594">
        <w:rPr>
          <w:i/>
          <w:sz w:val="16"/>
          <w:szCs w:val="16"/>
        </w:rPr>
        <w:t>National Plan to Address Alzheimer’s Disease</w:t>
      </w:r>
      <w:r w:rsidRPr="00E8215F">
        <w:rPr>
          <w:sz w:val="16"/>
          <w:szCs w:val="16"/>
        </w:rPr>
        <w:t>, U.S. Department of Health and Human Services, 2012</w:t>
      </w:r>
      <w:r>
        <w:rPr>
          <w:sz w:val="16"/>
          <w:szCs w:val="16"/>
        </w:rPr>
        <w:t>.</w:t>
      </w:r>
    </w:p>
  </w:endnote>
  <w:endnote w:id="25">
    <w:p w:rsidR="00485385" w:rsidRPr="00E8215F" w:rsidRDefault="00485385" w:rsidP="00CF294A">
      <w:pPr>
        <w:jc w:val="both"/>
        <w:rPr>
          <w:sz w:val="16"/>
          <w:szCs w:val="16"/>
        </w:rPr>
      </w:pPr>
      <w:r w:rsidRPr="00E8215F">
        <w:rPr>
          <w:rStyle w:val="EndnoteReference"/>
          <w:sz w:val="16"/>
          <w:szCs w:val="16"/>
        </w:rPr>
        <w:endnoteRef/>
      </w:r>
      <w:r>
        <w:rPr>
          <w:sz w:val="16"/>
          <w:szCs w:val="16"/>
        </w:rPr>
        <w:t xml:space="preserve"> Ballard, C., Neill, D., O’</w:t>
      </w:r>
      <w:r w:rsidRPr="00E8215F">
        <w:rPr>
          <w:sz w:val="16"/>
          <w:szCs w:val="16"/>
        </w:rPr>
        <w:t xml:space="preserve">Brien, J., </w:t>
      </w:r>
      <w:proofErr w:type="spellStart"/>
      <w:r w:rsidRPr="00E8215F">
        <w:rPr>
          <w:sz w:val="16"/>
          <w:szCs w:val="16"/>
        </w:rPr>
        <w:t>McKeith</w:t>
      </w:r>
      <w:proofErr w:type="spellEnd"/>
      <w:r w:rsidRPr="00E8215F">
        <w:rPr>
          <w:sz w:val="16"/>
          <w:szCs w:val="16"/>
        </w:rPr>
        <w:t xml:space="preserve">, I.G., </w:t>
      </w:r>
      <w:proofErr w:type="spellStart"/>
      <w:r w:rsidRPr="00E8215F">
        <w:rPr>
          <w:sz w:val="16"/>
          <w:szCs w:val="16"/>
        </w:rPr>
        <w:t>Ince</w:t>
      </w:r>
      <w:proofErr w:type="spellEnd"/>
      <w:r w:rsidRPr="00E8215F">
        <w:rPr>
          <w:sz w:val="16"/>
          <w:szCs w:val="16"/>
        </w:rPr>
        <w:t xml:space="preserve">, P., &amp; Perry, R. (2000). </w:t>
      </w:r>
      <w:r>
        <w:rPr>
          <w:sz w:val="16"/>
          <w:szCs w:val="16"/>
        </w:rPr>
        <w:t>“</w:t>
      </w:r>
      <w:r w:rsidRPr="00E8215F">
        <w:rPr>
          <w:sz w:val="16"/>
          <w:szCs w:val="16"/>
        </w:rPr>
        <w:t>Anxiety, depression and psychosis in vascular dementia: Prevalence and associations.</w:t>
      </w:r>
      <w:r>
        <w:rPr>
          <w:sz w:val="16"/>
          <w:szCs w:val="16"/>
        </w:rPr>
        <w:t>”</w:t>
      </w:r>
      <w:r w:rsidRPr="00E8215F">
        <w:rPr>
          <w:sz w:val="16"/>
          <w:szCs w:val="16"/>
        </w:rPr>
        <w:t xml:space="preserve"> </w:t>
      </w:r>
      <w:r w:rsidRPr="00E8215F">
        <w:rPr>
          <w:i/>
          <w:iCs/>
          <w:sz w:val="16"/>
          <w:szCs w:val="16"/>
        </w:rPr>
        <w:t>Journal of Affective Disorders</w:t>
      </w:r>
      <w:r w:rsidRPr="00E8215F">
        <w:rPr>
          <w:sz w:val="16"/>
          <w:szCs w:val="16"/>
        </w:rPr>
        <w:t xml:space="preserve">, </w:t>
      </w:r>
      <w:r w:rsidRPr="00E8215F">
        <w:rPr>
          <w:bCs/>
          <w:i/>
          <w:sz w:val="16"/>
          <w:szCs w:val="16"/>
        </w:rPr>
        <w:t>59</w:t>
      </w:r>
      <w:r w:rsidRPr="00E8215F">
        <w:rPr>
          <w:b/>
          <w:bCs/>
          <w:sz w:val="16"/>
          <w:szCs w:val="16"/>
        </w:rPr>
        <w:t>(</w:t>
      </w:r>
      <w:r w:rsidRPr="00E8215F">
        <w:rPr>
          <w:sz w:val="16"/>
          <w:szCs w:val="16"/>
        </w:rPr>
        <w:t xml:space="preserve">2): 97–106. </w:t>
      </w:r>
    </w:p>
  </w:endnote>
  <w:endnote w:id="26">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Ballard, Bannister, &amp; </w:t>
      </w:r>
      <w:proofErr w:type="spellStart"/>
      <w:r w:rsidRPr="00E8215F">
        <w:rPr>
          <w:sz w:val="16"/>
          <w:szCs w:val="16"/>
        </w:rPr>
        <w:t>Oyebode</w:t>
      </w:r>
      <w:proofErr w:type="spellEnd"/>
      <w:r w:rsidRPr="00E8215F">
        <w:rPr>
          <w:sz w:val="16"/>
          <w:szCs w:val="16"/>
        </w:rPr>
        <w:t xml:space="preserve">, 1996; Ross, </w:t>
      </w:r>
      <w:proofErr w:type="spellStart"/>
      <w:r w:rsidRPr="00E8215F">
        <w:rPr>
          <w:sz w:val="16"/>
          <w:szCs w:val="16"/>
        </w:rPr>
        <w:t>Arnsberger</w:t>
      </w:r>
      <w:proofErr w:type="spellEnd"/>
      <w:r w:rsidRPr="00E8215F">
        <w:rPr>
          <w:sz w:val="16"/>
          <w:szCs w:val="16"/>
        </w:rPr>
        <w:t>, &amp; Fox, 1998</w:t>
      </w:r>
      <w:r>
        <w:rPr>
          <w:sz w:val="16"/>
          <w:szCs w:val="16"/>
        </w:rPr>
        <w:t>.</w:t>
      </w:r>
    </w:p>
  </w:endnote>
  <w:endnote w:id="27">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Lyketsos</w:t>
      </w:r>
      <w:proofErr w:type="spellEnd"/>
      <w:r w:rsidRPr="00E8215F">
        <w:rPr>
          <w:sz w:val="16"/>
          <w:szCs w:val="16"/>
        </w:rPr>
        <w:t xml:space="preserve">, C.G. &amp; Lee, H.C.B. (2004). </w:t>
      </w:r>
      <w:r>
        <w:rPr>
          <w:sz w:val="16"/>
          <w:szCs w:val="16"/>
        </w:rPr>
        <w:t>“</w:t>
      </w:r>
      <w:r w:rsidRPr="00E8215F">
        <w:rPr>
          <w:sz w:val="16"/>
          <w:szCs w:val="16"/>
        </w:rPr>
        <w:t>Diagnosis and treatment of depression in Alzheimer’s disease – A practical update for the clinician.</w:t>
      </w:r>
      <w:r>
        <w:rPr>
          <w:sz w:val="16"/>
          <w:szCs w:val="16"/>
        </w:rPr>
        <w:t>”</w:t>
      </w:r>
      <w:r w:rsidRPr="00E8215F">
        <w:rPr>
          <w:sz w:val="16"/>
          <w:szCs w:val="16"/>
        </w:rPr>
        <w:t xml:space="preserve"> </w:t>
      </w:r>
      <w:r w:rsidRPr="00E8215F">
        <w:rPr>
          <w:i/>
          <w:sz w:val="16"/>
          <w:szCs w:val="16"/>
        </w:rPr>
        <w:t>Dementia and Geriatric Cognitive Disorders, 17</w:t>
      </w:r>
      <w:r w:rsidRPr="00E8215F">
        <w:rPr>
          <w:sz w:val="16"/>
          <w:szCs w:val="16"/>
        </w:rPr>
        <w:t>: 55-64.</w:t>
      </w:r>
    </w:p>
  </w:endnote>
  <w:endnote w:id="28">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Beck, C. K., </w:t>
      </w:r>
      <w:proofErr w:type="spellStart"/>
      <w:r w:rsidRPr="00E8215F">
        <w:rPr>
          <w:sz w:val="16"/>
          <w:szCs w:val="16"/>
        </w:rPr>
        <w:t>Vogelpohl</w:t>
      </w:r>
      <w:proofErr w:type="spellEnd"/>
      <w:r w:rsidRPr="00E8215F">
        <w:rPr>
          <w:sz w:val="16"/>
          <w:szCs w:val="16"/>
        </w:rPr>
        <w:t xml:space="preserve">, T. S., </w:t>
      </w:r>
      <w:proofErr w:type="spellStart"/>
      <w:r w:rsidRPr="00E8215F">
        <w:rPr>
          <w:sz w:val="16"/>
          <w:szCs w:val="16"/>
        </w:rPr>
        <w:t>Rasin</w:t>
      </w:r>
      <w:proofErr w:type="spellEnd"/>
      <w:r w:rsidRPr="00E8215F">
        <w:rPr>
          <w:sz w:val="16"/>
          <w:szCs w:val="16"/>
        </w:rPr>
        <w:t xml:space="preserve">, J. H., </w:t>
      </w:r>
      <w:proofErr w:type="spellStart"/>
      <w:r w:rsidRPr="00E8215F">
        <w:rPr>
          <w:sz w:val="16"/>
          <w:szCs w:val="16"/>
        </w:rPr>
        <w:t>Uriri</w:t>
      </w:r>
      <w:proofErr w:type="spellEnd"/>
      <w:r w:rsidRPr="00E8215F">
        <w:rPr>
          <w:sz w:val="16"/>
          <w:szCs w:val="16"/>
        </w:rPr>
        <w:t xml:space="preserve">, J. T., O’Sullivan, P., Walls, R., et al. (2002). </w:t>
      </w:r>
      <w:r>
        <w:rPr>
          <w:sz w:val="16"/>
          <w:szCs w:val="16"/>
        </w:rPr>
        <w:t>“</w:t>
      </w:r>
      <w:proofErr w:type="spellStart"/>
      <w:r w:rsidRPr="00E8215F">
        <w:rPr>
          <w:sz w:val="16"/>
          <w:szCs w:val="16"/>
        </w:rPr>
        <w:t>E</w:t>
      </w:r>
      <w:r w:rsidRPr="00E8215F">
        <w:rPr>
          <w:rFonts w:ascii="Cambria Math" w:hAnsi="Cambria Math" w:cs="Cambria Math"/>
          <w:sz w:val="16"/>
          <w:szCs w:val="16"/>
        </w:rPr>
        <w:t>ﬀ</w:t>
      </w:r>
      <w:r w:rsidRPr="00E8215F">
        <w:rPr>
          <w:sz w:val="16"/>
          <w:szCs w:val="16"/>
        </w:rPr>
        <w:t>ects</w:t>
      </w:r>
      <w:proofErr w:type="spellEnd"/>
      <w:r w:rsidRPr="00E8215F">
        <w:rPr>
          <w:sz w:val="16"/>
          <w:szCs w:val="16"/>
        </w:rPr>
        <w:t xml:space="preserve"> of behavioral interventions on disruptive behavior and </w:t>
      </w:r>
      <w:proofErr w:type="spellStart"/>
      <w:r w:rsidRPr="00E8215F">
        <w:rPr>
          <w:sz w:val="16"/>
          <w:szCs w:val="16"/>
        </w:rPr>
        <w:t>a</w:t>
      </w:r>
      <w:r w:rsidRPr="00E8215F">
        <w:rPr>
          <w:rFonts w:ascii="Cambria Math" w:hAnsi="Cambria Math" w:cs="Cambria Math"/>
          <w:sz w:val="16"/>
          <w:szCs w:val="16"/>
        </w:rPr>
        <w:t>ﬀ</w:t>
      </w:r>
      <w:r w:rsidRPr="00E8215F">
        <w:rPr>
          <w:sz w:val="16"/>
          <w:szCs w:val="16"/>
        </w:rPr>
        <w:t>ect</w:t>
      </w:r>
      <w:proofErr w:type="spellEnd"/>
      <w:r w:rsidRPr="00E8215F">
        <w:rPr>
          <w:sz w:val="16"/>
          <w:szCs w:val="16"/>
        </w:rPr>
        <w:t xml:space="preserve"> in demented nursing home residents.</w:t>
      </w:r>
      <w:r>
        <w:rPr>
          <w:sz w:val="16"/>
          <w:szCs w:val="16"/>
        </w:rPr>
        <w:t>”</w:t>
      </w:r>
      <w:r w:rsidRPr="00E8215F">
        <w:rPr>
          <w:sz w:val="16"/>
          <w:szCs w:val="16"/>
        </w:rPr>
        <w:t xml:space="preserve"> </w:t>
      </w:r>
      <w:r w:rsidRPr="00E8215F">
        <w:rPr>
          <w:i/>
          <w:sz w:val="16"/>
          <w:szCs w:val="16"/>
        </w:rPr>
        <w:t>Nursing Research, 51</w:t>
      </w:r>
      <w:r w:rsidRPr="00E8215F">
        <w:rPr>
          <w:sz w:val="16"/>
          <w:szCs w:val="16"/>
        </w:rPr>
        <w:t xml:space="preserve">(4): 219–228; Bird, M.J., &amp; </w:t>
      </w:r>
      <w:proofErr w:type="spellStart"/>
      <w:r w:rsidRPr="00E8215F">
        <w:rPr>
          <w:sz w:val="16"/>
          <w:szCs w:val="16"/>
        </w:rPr>
        <w:t>Parslow</w:t>
      </w:r>
      <w:proofErr w:type="spellEnd"/>
      <w:r w:rsidRPr="00E8215F">
        <w:rPr>
          <w:sz w:val="16"/>
          <w:szCs w:val="16"/>
        </w:rPr>
        <w:t xml:space="preserve">, R.A. (2002). </w:t>
      </w:r>
      <w:r>
        <w:rPr>
          <w:sz w:val="16"/>
          <w:szCs w:val="16"/>
        </w:rPr>
        <w:t>“</w:t>
      </w:r>
      <w:r w:rsidRPr="00E8215F">
        <w:rPr>
          <w:sz w:val="16"/>
          <w:szCs w:val="16"/>
        </w:rPr>
        <w:t>Potential for community programs to prevent depression in older people.</w:t>
      </w:r>
      <w:r>
        <w:rPr>
          <w:sz w:val="16"/>
          <w:szCs w:val="16"/>
        </w:rPr>
        <w:t>”</w:t>
      </w:r>
      <w:r w:rsidRPr="00E8215F">
        <w:rPr>
          <w:sz w:val="16"/>
          <w:szCs w:val="16"/>
        </w:rPr>
        <w:t xml:space="preserve"> </w:t>
      </w:r>
      <w:r w:rsidRPr="00E8215F">
        <w:rPr>
          <w:i/>
          <w:sz w:val="16"/>
          <w:szCs w:val="16"/>
        </w:rPr>
        <w:t>Medical Journal of Australia, 117</w:t>
      </w:r>
      <w:r w:rsidRPr="00E8215F">
        <w:rPr>
          <w:sz w:val="16"/>
          <w:szCs w:val="16"/>
        </w:rPr>
        <w:t xml:space="preserve">: S107-S110; </w:t>
      </w:r>
      <w:proofErr w:type="spellStart"/>
      <w:r w:rsidRPr="00E8215F">
        <w:rPr>
          <w:sz w:val="16"/>
          <w:szCs w:val="16"/>
        </w:rPr>
        <w:t>Lyketsos</w:t>
      </w:r>
      <w:proofErr w:type="spellEnd"/>
      <w:r w:rsidRPr="00E8215F">
        <w:rPr>
          <w:sz w:val="16"/>
          <w:szCs w:val="16"/>
        </w:rPr>
        <w:t xml:space="preserve">, C.G. &amp; Lee, H.C.B. (2004). </w:t>
      </w:r>
      <w:r>
        <w:rPr>
          <w:sz w:val="16"/>
          <w:szCs w:val="16"/>
        </w:rPr>
        <w:t>“</w:t>
      </w:r>
      <w:r w:rsidRPr="00E8215F">
        <w:rPr>
          <w:sz w:val="16"/>
          <w:szCs w:val="16"/>
        </w:rPr>
        <w:t>Diagnosis and treatment of depression in Alzheimer’s disease – A practical update for the clinician.</w:t>
      </w:r>
      <w:r>
        <w:rPr>
          <w:sz w:val="16"/>
          <w:szCs w:val="16"/>
        </w:rPr>
        <w:t>”</w:t>
      </w:r>
      <w:r w:rsidRPr="00E8215F">
        <w:rPr>
          <w:sz w:val="16"/>
          <w:szCs w:val="16"/>
        </w:rPr>
        <w:t xml:space="preserve"> </w:t>
      </w:r>
      <w:r w:rsidRPr="00E8215F">
        <w:rPr>
          <w:i/>
          <w:sz w:val="16"/>
          <w:szCs w:val="16"/>
        </w:rPr>
        <w:t>Dementia and Geriatric Cognitive Disorders, 17</w:t>
      </w:r>
      <w:r w:rsidRPr="00E8215F">
        <w:rPr>
          <w:sz w:val="16"/>
          <w:szCs w:val="16"/>
        </w:rPr>
        <w:t>: 55-64.</w:t>
      </w:r>
    </w:p>
  </w:endnote>
  <w:endnote w:id="29">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Gaugler, J. E., Gallagher-Winker, K., </w:t>
      </w:r>
      <w:proofErr w:type="spellStart"/>
      <w:r w:rsidRPr="00E8215F">
        <w:rPr>
          <w:sz w:val="16"/>
          <w:szCs w:val="16"/>
        </w:rPr>
        <w:t>Kehrberg</w:t>
      </w:r>
      <w:proofErr w:type="spellEnd"/>
      <w:r w:rsidRPr="00E8215F">
        <w:rPr>
          <w:sz w:val="16"/>
          <w:szCs w:val="16"/>
        </w:rPr>
        <w:t xml:space="preserve">, K., </w:t>
      </w:r>
      <w:proofErr w:type="spellStart"/>
      <w:r w:rsidRPr="00E8215F">
        <w:rPr>
          <w:sz w:val="16"/>
          <w:szCs w:val="16"/>
        </w:rPr>
        <w:t>Lunde</w:t>
      </w:r>
      <w:proofErr w:type="spellEnd"/>
      <w:r w:rsidRPr="00E8215F">
        <w:rPr>
          <w:sz w:val="16"/>
          <w:szCs w:val="16"/>
        </w:rPr>
        <w:t xml:space="preserve">, A. M., </w:t>
      </w:r>
      <w:proofErr w:type="spellStart"/>
      <w:r w:rsidRPr="00E8215F">
        <w:rPr>
          <w:sz w:val="16"/>
          <w:szCs w:val="16"/>
        </w:rPr>
        <w:t>Marsolek</w:t>
      </w:r>
      <w:proofErr w:type="spellEnd"/>
      <w:r w:rsidRPr="00E8215F">
        <w:rPr>
          <w:sz w:val="16"/>
          <w:szCs w:val="16"/>
        </w:rPr>
        <w:t xml:space="preserve">, C. M., </w:t>
      </w:r>
      <w:proofErr w:type="spellStart"/>
      <w:r w:rsidRPr="00E8215F">
        <w:rPr>
          <w:sz w:val="16"/>
          <w:szCs w:val="16"/>
        </w:rPr>
        <w:t>Ringham</w:t>
      </w:r>
      <w:proofErr w:type="spellEnd"/>
      <w:r w:rsidRPr="00E8215F">
        <w:rPr>
          <w:sz w:val="16"/>
          <w:szCs w:val="16"/>
        </w:rPr>
        <w:t>, K., &amp; ... Barclay, M. (2011).</w:t>
      </w:r>
      <w:r>
        <w:rPr>
          <w:sz w:val="16"/>
          <w:szCs w:val="16"/>
        </w:rPr>
        <w:t xml:space="preserve"> “The </w:t>
      </w:r>
      <w:r w:rsidRPr="00E8215F">
        <w:rPr>
          <w:sz w:val="16"/>
          <w:szCs w:val="16"/>
        </w:rPr>
        <w:t>Memory Club: Providing support to persons with early-stage dementia and their care partners.</w:t>
      </w:r>
      <w:r>
        <w:rPr>
          <w:sz w:val="16"/>
          <w:szCs w:val="16"/>
        </w:rPr>
        <w:t>”</w:t>
      </w:r>
      <w:r w:rsidRPr="00E8215F">
        <w:rPr>
          <w:sz w:val="16"/>
          <w:szCs w:val="16"/>
        </w:rPr>
        <w:t xml:space="preserve"> </w:t>
      </w:r>
      <w:r w:rsidRPr="00E8215F">
        <w:rPr>
          <w:i/>
          <w:sz w:val="16"/>
          <w:szCs w:val="16"/>
        </w:rPr>
        <w:t>American Journal Of Alzheimer's Disease And Other Dementias, 26</w:t>
      </w:r>
      <w:r w:rsidRPr="00E8215F">
        <w:rPr>
          <w:sz w:val="16"/>
          <w:szCs w:val="16"/>
        </w:rPr>
        <w:t>(3): 218-226.</w:t>
      </w:r>
    </w:p>
  </w:endnote>
  <w:endnote w:id="30">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Vernooij-Dassen</w:t>
      </w:r>
      <w:proofErr w:type="spellEnd"/>
      <w:r w:rsidRPr="00E8215F">
        <w:rPr>
          <w:sz w:val="16"/>
          <w:szCs w:val="16"/>
        </w:rPr>
        <w:t xml:space="preserve">, M., </w:t>
      </w:r>
      <w:proofErr w:type="spellStart"/>
      <w:r w:rsidRPr="00E8215F">
        <w:rPr>
          <w:sz w:val="16"/>
          <w:szCs w:val="16"/>
        </w:rPr>
        <w:t>Vasse</w:t>
      </w:r>
      <w:proofErr w:type="spellEnd"/>
      <w:r w:rsidRPr="00E8215F">
        <w:rPr>
          <w:sz w:val="16"/>
          <w:szCs w:val="16"/>
        </w:rPr>
        <w:t xml:space="preserve">, E., </w:t>
      </w:r>
      <w:proofErr w:type="spellStart"/>
      <w:r w:rsidRPr="00E8215F">
        <w:rPr>
          <w:sz w:val="16"/>
          <w:szCs w:val="16"/>
        </w:rPr>
        <w:t>Zuidema</w:t>
      </w:r>
      <w:proofErr w:type="spellEnd"/>
      <w:r w:rsidRPr="00E8215F">
        <w:rPr>
          <w:sz w:val="16"/>
          <w:szCs w:val="16"/>
        </w:rPr>
        <w:t xml:space="preserve">, S., Cohen-Mansfield, J., &amp; Moyle, W. (2010). </w:t>
      </w:r>
      <w:r>
        <w:rPr>
          <w:sz w:val="16"/>
          <w:szCs w:val="16"/>
        </w:rPr>
        <w:t>“</w:t>
      </w:r>
      <w:r w:rsidRPr="00E8215F">
        <w:rPr>
          <w:sz w:val="16"/>
          <w:szCs w:val="16"/>
        </w:rPr>
        <w:t>Psychosocial interventions for dementia patients in long-term care.</w:t>
      </w:r>
      <w:r>
        <w:rPr>
          <w:sz w:val="16"/>
          <w:szCs w:val="16"/>
        </w:rPr>
        <w:t>”</w:t>
      </w:r>
      <w:r w:rsidRPr="00E8215F">
        <w:rPr>
          <w:sz w:val="16"/>
          <w:szCs w:val="16"/>
        </w:rPr>
        <w:t xml:space="preserve"> </w:t>
      </w:r>
      <w:r w:rsidRPr="00E8215F">
        <w:rPr>
          <w:i/>
          <w:sz w:val="16"/>
          <w:szCs w:val="16"/>
        </w:rPr>
        <w:t>International Psychogeriatrics, 22</w:t>
      </w:r>
      <w:r w:rsidRPr="00E8215F">
        <w:rPr>
          <w:sz w:val="16"/>
          <w:szCs w:val="16"/>
        </w:rPr>
        <w:t>(7): 1121-1128.</w:t>
      </w:r>
    </w:p>
  </w:endnote>
  <w:endnote w:id="31">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De Andrade, D., de </w:t>
      </w:r>
      <w:proofErr w:type="spellStart"/>
      <w:r w:rsidRPr="00E8215F">
        <w:rPr>
          <w:sz w:val="16"/>
          <w:szCs w:val="16"/>
        </w:rPr>
        <w:t>Faria</w:t>
      </w:r>
      <w:proofErr w:type="spellEnd"/>
      <w:r w:rsidRPr="00E8215F">
        <w:rPr>
          <w:sz w:val="16"/>
          <w:szCs w:val="16"/>
        </w:rPr>
        <w:t xml:space="preserve">, J., </w:t>
      </w:r>
      <w:proofErr w:type="spellStart"/>
      <w:r w:rsidRPr="00E8215F">
        <w:rPr>
          <w:sz w:val="16"/>
          <w:szCs w:val="16"/>
        </w:rPr>
        <w:t>Caramelli</w:t>
      </w:r>
      <w:proofErr w:type="spellEnd"/>
      <w:r w:rsidRPr="00E8215F">
        <w:rPr>
          <w:sz w:val="16"/>
          <w:szCs w:val="16"/>
        </w:rPr>
        <w:t xml:space="preserve">, P., </w:t>
      </w:r>
      <w:proofErr w:type="spellStart"/>
      <w:r w:rsidRPr="00E8215F">
        <w:rPr>
          <w:sz w:val="16"/>
          <w:szCs w:val="16"/>
        </w:rPr>
        <w:t>Alvarenga</w:t>
      </w:r>
      <w:proofErr w:type="spellEnd"/>
      <w:r w:rsidRPr="00E8215F">
        <w:rPr>
          <w:sz w:val="16"/>
          <w:szCs w:val="16"/>
        </w:rPr>
        <w:t xml:space="preserve">, L., </w:t>
      </w:r>
      <w:proofErr w:type="spellStart"/>
      <w:r w:rsidRPr="00E8215F">
        <w:rPr>
          <w:sz w:val="16"/>
          <w:szCs w:val="16"/>
        </w:rPr>
        <w:t>Galhardoni</w:t>
      </w:r>
      <w:proofErr w:type="spellEnd"/>
      <w:r w:rsidRPr="00E8215F">
        <w:rPr>
          <w:sz w:val="16"/>
          <w:szCs w:val="16"/>
        </w:rPr>
        <w:t xml:space="preserve">, R., </w:t>
      </w:r>
      <w:proofErr w:type="spellStart"/>
      <w:r w:rsidRPr="00E8215F">
        <w:rPr>
          <w:sz w:val="16"/>
          <w:szCs w:val="16"/>
        </w:rPr>
        <w:t>Siqueira</w:t>
      </w:r>
      <w:proofErr w:type="spellEnd"/>
      <w:r w:rsidRPr="00E8215F">
        <w:rPr>
          <w:sz w:val="16"/>
          <w:szCs w:val="16"/>
        </w:rPr>
        <w:t xml:space="preserve">, S. D., &amp; Teixeira, M. (2011).  </w:t>
      </w:r>
      <w:r>
        <w:rPr>
          <w:sz w:val="16"/>
          <w:szCs w:val="16"/>
        </w:rPr>
        <w:t>“</w:t>
      </w:r>
      <w:r w:rsidRPr="00E8215F">
        <w:rPr>
          <w:sz w:val="16"/>
          <w:szCs w:val="16"/>
        </w:rPr>
        <w:t>The assessment and management of pain in the demented and non-demented elderly patient.</w:t>
      </w:r>
      <w:r>
        <w:rPr>
          <w:sz w:val="16"/>
          <w:szCs w:val="16"/>
        </w:rPr>
        <w:t>”</w:t>
      </w:r>
      <w:r w:rsidRPr="00E8215F">
        <w:rPr>
          <w:sz w:val="16"/>
          <w:szCs w:val="16"/>
        </w:rPr>
        <w:t xml:space="preserve"> </w:t>
      </w:r>
      <w:proofErr w:type="spellStart"/>
      <w:r w:rsidRPr="00E8215F">
        <w:rPr>
          <w:i/>
          <w:sz w:val="16"/>
          <w:szCs w:val="16"/>
        </w:rPr>
        <w:t>Arquivos</w:t>
      </w:r>
      <w:proofErr w:type="spellEnd"/>
      <w:r w:rsidRPr="00E8215F">
        <w:rPr>
          <w:i/>
          <w:sz w:val="16"/>
          <w:szCs w:val="16"/>
        </w:rPr>
        <w:t xml:space="preserve"> De </w:t>
      </w:r>
      <w:proofErr w:type="spellStart"/>
      <w:r w:rsidRPr="00E8215F">
        <w:rPr>
          <w:i/>
          <w:sz w:val="16"/>
          <w:szCs w:val="16"/>
        </w:rPr>
        <w:t>Neuro-Psiquiatria</w:t>
      </w:r>
      <w:proofErr w:type="spellEnd"/>
      <w:r w:rsidRPr="00E8215F">
        <w:rPr>
          <w:i/>
          <w:sz w:val="16"/>
          <w:szCs w:val="16"/>
        </w:rPr>
        <w:t>, 69</w:t>
      </w:r>
      <w:r w:rsidRPr="00E8215F">
        <w:rPr>
          <w:sz w:val="16"/>
          <w:szCs w:val="16"/>
        </w:rPr>
        <w:t xml:space="preserve">(2-B): 387-394. </w:t>
      </w:r>
    </w:p>
  </w:endnote>
  <w:endnote w:id="32">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(Dawson, Wells, &amp; Kline, 1993)</w:t>
      </w:r>
    </w:p>
  </w:endnote>
  <w:endnote w:id="33">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Monroe, T. (2010). </w:t>
      </w:r>
      <w:r>
        <w:rPr>
          <w:sz w:val="16"/>
          <w:szCs w:val="16"/>
        </w:rPr>
        <w:t>“</w:t>
      </w:r>
      <w:r w:rsidRPr="00E8215F">
        <w:rPr>
          <w:sz w:val="16"/>
          <w:szCs w:val="16"/>
        </w:rPr>
        <w:t>Pain management in nursing home residents with cancer and dementia with and without hospice services.</w:t>
      </w:r>
      <w:r>
        <w:rPr>
          <w:sz w:val="16"/>
          <w:szCs w:val="16"/>
        </w:rPr>
        <w:t>”</w:t>
      </w:r>
      <w:r w:rsidRPr="00E8215F">
        <w:rPr>
          <w:sz w:val="16"/>
          <w:szCs w:val="16"/>
        </w:rPr>
        <w:t xml:space="preserve"> </w:t>
      </w:r>
      <w:r w:rsidRPr="00E8215F">
        <w:rPr>
          <w:i/>
          <w:sz w:val="16"/>
          <w:szCs w:val="16"/>
        </w:rPr>
        <w:t>Dissertation Abstracts International, 71</w:t>
      </w:r>
      <w:r w:rsidRPr="00E8215F">
        <w:rPr>
          <w:sz w:val="16"/>
          <w:szCs w:val="16"/>
        </w:rPr>
        <w:t>(5-B): 2947.</w:t>
      </w:r>
    </w:p>
  </w:endnote>
  <w:endnote w:id="34">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Reimer, M. A., Slaughter, S., Donaldson, C., Currie, G., &amp; </w:t>
      </w:r>
      <w:proofErr w:type="spellStart"/>
      <w:r w:rsidRPr="00E8215F">
        <w:rPr>
          <w:sz w:val="16"/>
          <w:szCs w:val="16"/>
        </w:rPr>
        <w:t>Eliasziw</w:t>
      </w:r>
      <w:proofErr w:type="spellEnd"/>
      <w:r w:rsidRPr="00E8215F">
        <w:rPr>
          <w:sz w:val="16"/>
          <w:szCs w:val="16"/>
        </w:rPr>
        <w:t xml:space="preserve">, M. (2004). </w:t>
      </w:r>
      <w:r>
        <w:rPr>
          <w:sz w:val="16"/>
          <w:szCs w:val="16"/>
        </w:rPr>
        <w:t>“</w:t>
      </w:r>
      <w:r w:rsidRPr="00E8215F">
        <w:rPr>
          <w:sz w:val="16"/>
          <w:szCs w:val="16"/>
        </w:rPr>
        <w:t>Special care facility compared with traditional environments for dementia care: A longitudinal study of quality of life.</w:t>
      </w:r>
      <w:r>
        <w:rPr>
          <w:sz w:val="16"/>
          <w:szCs w:val="16"/>
        </w:rPr>
        <w:t>”</w:t>
      </w:r>
      <w:r w:rsidRPr="00E8215F">
        <w:rPr>
          <w:sz w:val="16"/>
          <w:szCs w:val="16"/>
        </w:rPr>
        <w:t xml:space="preserve"> </w:t>
      </w:r>
      <w:r w:rsidRPr="00E8215F">
        <w:rPr>
          <w:i/>
          <w:sz w:val="16"/>
          <w:szCs w:val="16"/>
        </w:rPr>
        <w:t>Journal Of The American Geriatrics Society, 52</w:t>
      </w:r>
      <w:r w:rsidRPr="00E8215F">
        <w:rPr>
          <w:sz w:val="16"/>
          <w:szCs w:val="16"/>
        </w:rPr>
        <w:t xml:space="preserve">(7): 1085-1092; Terada, S., </w:t>
      </w:r>
      <w:proofErr w:type="spellStart"/>
      <w:r w:rsidRPr="00E8215F">
        <w:rPr>
          <w:sz w:val="16"/>
          <w:szCs w:val="16"/>
        </w:rPr>
        <w:t>Oshima</w:t>
      </w:r>
      <w:proofErr w:type="spellEnd"/>
      <w:r w:rsidRPr="00E8215F">
        <w:rPr>
          <w:sz w:val="16"/>
          <w:szCs w:val="16"/>
        </w:rPr>
        <w:t>, E., Yokota, O., Ikeda, C., Nagao, S., Take</w:t>
      </w:r>
      <w:r>
        <w:rPr>
          <w:sz w:val="16"/>
          <w:szCs w:val="16"/>
        </w:rPr>
        <w:t xml:space="preserve">da, N., &amp; ... </w:t>
      </w:r>
      <w:proofErr w:type="spellStart"/>
      <w:r>
        <w:rPr>
          <w:sz w:val="16"/>
          <w:szCs w:val="16"/>
        </w:rPr>
        <w:t>Uchitomi</w:t>
      </w:r>
      <w:proofErr w:type="spellEnd"/>
      <w:r>
        <w:rPr>
          <w:sz w:val="16"/>
          <w:szCs w:val="16"/>
        </w:rPr>
        <w:t>, Y. (2013</w:t>
      </w:r>
      <w:r w:rsidRPr="00E8215F">
        <w:rPr>
          <w:sz w:val="16"/>
          <w:szCs w:val="16"/>
        </w:rPr>
        <w:t xml:space="preserve">). </w:t>
      </w:r>
      <w:r>
        <w:rPr>
          <w:sz w:val="16"/>
          <w:szCs w:val="16"/>
        </w:rPr>
        <w:t>“</w:t>
      </w:r>
      <w:r w:rsidRPr="00E8215F">
        <w:rPr>
          <w:sz w:val="16"/>
          <w:szCs w:val="16"/>
        </w:rPr>
        <w:t>Person-centered care and quality of life of patients with dementia in long-term care facilities.</w:t>
      </w:r>
      <w:r>
        <w:rPr>
          <w:sz w:val="16"/>
          <w:szCs w:val="16"/>
        </w:rPr>
        <w:t>”</w:t>
      </w:r>
      <w:r w:rsidRPr="00E8215F">
        <w:rPr>
          <w:sz w:val="16"/>
          <w:szCs w:val="16"/>
        </w:rPr>
        <w:t xml:space="preserve"> </w:t>
      </w:r>
      <w:r w:rsidRPr="00E8215F">
        <w:rPr>
          <w:i/>
          <w:sz w:val="16"/>
          <w:szCs w:val="16"/>
        </w:rPr>
        <w:t>Psychiatry Research,</w:t>
      </w:r>
      <w:r>
        <w:rPr>
          <w:i/>
          <w:sz w:val="16"/>
          <w:szCs w:val="16"/>
        </w:rPr>
        <w:t xml:space="preserve"> </w:t>
      </w:r>
      <w:r>
        <w:rPr>
          <w:sz w:val="16"/>
          <w:szCs w:val="16"/>
        </w:rPr>
        <w:t>205(1-2): 103-108.</w:t>
      </w:r>
    </w:p>
  </w:endnote>
  <w:endnote w:id="35">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Schulz &amp; Beach, 1999</w:t>
      </w:r>
      <w:r>
        <w:rPr>
          <w:sz w:val="16"/>
          <w:szCs w:val="16"/>
        </w:rPr>
        <w:t xml:space="preserve">. </w:t>
      </w:r>
    </w:p>
  </w:endnote>
  <w:endnote w:id="36">
    <w:p w:rsidR="00485385" w:rsidRPr="00816B81" w:rsidRDefault="00485385" w:rsidP="00CF294A">
      <w:pPr>
        <w:pStyle w:val="EndnoteText"/>
        <w:jc w:val="both"/>
        <w:rPr>
          <w:sz w:val="16"/>
          <w:szCs w:val="16"/>
        </w:rPr>
      </w:pPr>
      <w:r>
        <w:rPr>
          <w:rStyle w:val="EndnoteReference"/>
        </w:rPr>
        <w:endnoteRef/>
      </w:r>
      <w:r>
        <w:t xml:space="preserve"> “</w:t>
      </w:r>
      <w:r>
        <w:rPr>
          <w:sz w:val="16"/>
          <w:szCs w:val="16"/>
        </w:rPr>
        <w:t>The 2004 Survey of State and Adult Protective Services:  Abuse of Adults 60 Years of Age and Older.”  Graduate Center for Gerontology and National Adult Protective Services Association, February 2006.</w:t>
      </w:r>
    </w:p>
  </w:endnote>
  <w:endnote w:id="37">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Wagenaar</w:t>
      </w:r>
      <w:proofErr w:type="spellEnd"/>
      <w:r w:rsidRPr="00E8215F">
        <w:rPr>
          <w:sz w:val="16"/>
          <w:szCs w:val="16"/>
        </w:rPr>
        <w:t xml:space="preserve">, D. B., Rosenbaum, R., Page, C., &amp; Herman, S. (2009). </w:t>
      </w:r>
      <w:r>
        <w:rPr>
          <w:sz w:val="16"/>
          <w:szCs w:val="16"/>
        </w:rPr>
        <w:t>“</w:t>
      </w:r>
      <w:r w:rsidRPr="00E8215F">
        <w:rPr>
          <w:sz w:val="16"/>
          <w:szCs w:val="16"/>
        </w:rPr>
        <w:t>Elder abuse education in residency programs: How well are we doing?</w:t>
      </w:r>
      <w:r>
        <w:rPr>
          <w:sz w:val="16"/>
          <w:szCs w:val="16"/>
        </w:rPr>
        <w:t>”</w:t>
      </w:r>
      <w:r w:rsidRPr="00E8215F">
        <w:rPr>
          <w:sz w:val="16"/>
          <w:szCs w:val="16"/>
        </w:rPr>
        <w:t xml:space="preserve"> </w:t>
      </w:r>
      <w:r w:rsidRPr="00E8215F">
        <w:rPr>
          <w:i/>
          <w:sz w:val="16"/>
          <w:szCs w:val="16"/>
        </w:rPr>
        <w:t>Academic Medicine, 84</w:t>
      </w:r>
      <w:r w:rsidRPr="00E8215F">
        <w:rPr>
          <w:sz w:val="16"/>
          <w:szCs w:val="16"/>
        </w:rPr>
        <w:t>(5), 611-618.</w:t>
      </w:r>
    </w:p>
  </w:endnote>
  <w:endnote w:id="38">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Chien, L., Chu, H., Guo, J., Liao, Y., Chang, L., Chen, C., &amp; Chou, K. (2011). </w:t>
      </w:r>
      <w:r>
        <w:rPr>
          <w:sz w:val="16"/>
          <w:szCs w:val="16"/>
        </w:rPr>
        <w:t>“</w:t>
      </w:r>
      <w:r w:rsidRPr="00E8215F">
        <w:rPr>
          <w:sz w:val="16"/>
          <w:szCs w:val="16"/>
        </w:rPr>
        <w:t>Caregiver support groups in patients with d</w:t>
      </w:r>
      <w:r>
        <w:rPr>
          <w:sz w:val="16"/>
          <w:szCs w:val="16"/>
        </w:rPr>
        <w:t>ementia: A </w:t>
      </w:r>
      <w:r w:rsidRPr="00E8215F">
        <w:rPr>
          <w:sz w:val="16"/>
          <w:szCs w:val="16"/>
        </w:rPr>
        <w:t>meta-analysis.</w:t>
      </w:r>
      <w:r>
        <w:rPr>
          <w:sz w:val="16"/>
          <w:szCs w:val="16"/>
        </w:rPr>
        <w:t>”</w:t>
      </w:r>
      <w:r w:rsidRPr="00E8215F">
        <w:rPr>
          <w:sz w:val="16"/>
          <w:szCs w:val="16"/>
        </w:rPr>
        <w:t xml:space="preserve"> </w:t>
      </w:r>
      <w:r w:rsidRPr="00E8215F">
        <w:rPr>
          <w:i/>
          <w:sz w:val="16"/>
          <w:szCs w:val="16"/>
        </w:rPr>
        <w:t>International Journal Of Geriatric Psychiatry, 26</w:t>
      </w:r>
      <w:r w:rsidRPr="00E8215F">
        <w:rPr>
          <w:sz w:val="16"/>
          <w:szCs w:val="16"/>
        </w:rPr>
        <w:t>(10): 1089-1098.</w:t>
      </w:r>
    </w:p>
  </w:endnote>
  <w:endnote w:id="39">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Burgener</w:t>
      </w:r>
      <w:proofErr w:type="spellEnd"/>
      <w:r w:rsidRPr="00E8215F">
        <w:rPr>
          <w:sz w:val="16"/>
          <w:szCs w:val="16"/>
        </w:rPr>
        <w:t xml:space="preserve">, S. C., &amp; Berger, B. (2008). </w:t>
      </w:r>
      <w:r>
        <w:rPr>
          <w:sz w:val="16"/>
          <w:szCs w:val="16"/>
        </w:rPr>
        <w:t>“</w:t>
      </w:r>
      <w:r w:rsidRPr="00E8215F">
        <w:rPr>
          <w:sz w:val="16"/>
          <w:szCs w:val="16"/>
        </w:rPr>
        <w:t>Measuring perceived stigma in persons with progressive neurological disease: Alz</w:t>
      </w:r>
      <w:r>
        <w:rPr>
          <w:sz w:val="16"/>
          <w:szCs w:val="16"/>
        </w:rPr>
        <w:t>heimer’s dementia and Parkinson’</w:t>
      </w:r>
      <w:r w:rsidRPr="00E8215F">
        <w:rPr>
          <w:sz w:val="16"/>
          <w:szCs w:val="16"/>
        </w:rPr>
        <w:t>s Disease.</w:t>
      </w:r>
      <w:r>
        <w:rPr>
          <w:sz w:val="16"/>
          <w:szCs w:val="16"/>
        </w:rPr>
        <w:t>”</w:t>
      </w:r>
      <w:r w:rsidRPr="00E8215F">
        <w:rPr>
          <w:sz w:val="16"/>
          <w:szCs w:val="16"/>
        </w:rPr>
        <w:t xml:space="preserve"> </w:t>
      </w:r>
      <w:r w:rsidRPr="00E8215F">
        <w:rPr>
          <w:i/>
          <w:sz w:val="16"/>
          <w:szCs w:val="16"/>
        </w:rPr>
        <w:t>Dementia: The International Journal Of Social Research And Practice, 7</w:t>
      </w:r>
      <w:r w:rsidRPr="00E8215F">
        <w:rPr>
          <w:sz w:val="16"/>
          <w:szCs w:val="16"/>
        </w:rPr>
        <w:t>(1): 31-53.</w:t>
      </w:r>
    </w:p>
  </w:endnote>
  <w:endnote w:id="40">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Gaugler, J., </w:t>
      </w:r>
      <w:proofErr w:type="spellStart"/>
      <w:r w:rsidRPr="00E8215F">
        <w:rPr>
          <w:sz w:val="16"/>
          <w:szCs w:val="16"/>
        </w:rPr>
        <w:t>Jarrott</w:t>
      </w:r>
      <w:proofErr w:type="spellEnd"/>
      <w:r w:rsidRPr="00E8215F">
        <w:rPr>
          <w:sz w:val="16"/>
          <w:szCs w:val="16"/>
        </w:rPr>
        <w:t xml:space="preserve">, S., </w:t>
      </w:r>
      <w:proofErr w:type="spellStart"/>
      <w:r w:rsidRPr="00E8215F">
        <w:rPr>
          <w:sz w:val="16"/>
          <w:szCs w:val="16"/>
        </w:rPr>
        <w:t>Zarit</w:t>
      </w:r>
      <w:proofErr w:type="spellEnd"/>
      <w:r w:rsidRPr="00E8215F">
        <w:rPr>
          <w:sz w:val="16"/>
          <w:szCs w:val="16"/>
        </w:rPr>
        <w:t xml:space="preserve">, S., Stephens, M., Townsend, A., &amp; Greene R. (2003). </w:t>
      </w:r>
      <w:r>
        <w:rPr>
          <w:sz w:val="16"/>
          <w:szCs w:val="16"/>
        </w:rPr>
        <w:t>“</w:t>
      </w:r>
      <w:r w:rsidRPr="00E8215F">
        <w:rPr>
          <w:sz w:val="16"/>
          <w:szCs w:val="16"/>
        </w:rPr>
        <w:t>Adult day service use and reductions in caregiver hours: Effects on stress and psychological well</w:t>
      </w:r>
      <w:r>
        <w:rPr>
          <w:sz w:val="16"/>
          <w:szCs w:val="16"/>
        </w:rPr>
        <w:t>-</w:t>
      </w:r>
      <w:r w:rsidRPr="00E8215F">
        <w:rPr>
          <w:sz w:val="16"/>
          <w:szCs w:val="16"/>
        </w:rPr>
        <w:t>being for dementia caregivers.</w:t>
      </w:r>
      <w:r>
        <w:rPr>
          <w:sz w:val="16"/>
          <w:szCs w:val="16"/>
        </w:rPr>
        <w:t>”</w:t>
      </w:r>
      <w:r w:rsidRPr="00E8215F">
        <w:rPr>
          <w:sz w:val="16"/>
          <w:szCs w:val="16"/>
        </w:rPr>
        <w:t xml:space="preserve"> </w:t>
      </w:r>
      <w:r w:rsidRPr="00E8215F">
        <w:rPr>
          <w:i/>
          <w:iCs/>
          <w:sz w:val="16"/>
          <w:szCs w:val="16"/>
        </w:rPr>
        <w:t>International Journal of Geriatric Psychiatry</w:t>
      </w:r>
      <w:r w:rsidRPr="00E8215F">
        <w:rPr>
          <w:i/>
          <w:sz w:val="16"/>
          <w:szCs w:val="16"/>
        </w:rPr>
        <w:t>, 8</w:t>
      </w:r>
      <w:r w:rsidRPr="00E8215F">
        <w:rPr>
          <w:sz w:val="16"/>
          <w:szCs w:val="16"/>
        </w:rPr>
        <w:t xml:space="preserve">: 55-62.  </w:t>
      </w:r>
      <w:proofErr w:type="spellStart"/>
      <w:r w:rsidRPr="00E8215F">
        <w:rPr>
          <w:sz w:val="16"/>
          <w:szCs w:val="16"/>
        </w:rPr>
        <w:t>Shanley</w:t>
      </w:r>
      <w:proofErr w:type="spellEnd"/>
      <w:r w:rsidRPr="00E8215F">
        <w:rPr>
          <w:sz w:val="16"/>
          <w:szCs w:val="16"/>
        </w:rPr>
        <w:t xml:space="preserve">, C. (2006). </w:t>
      </w:r>
      <w:r>
        <w:rPr>
          <w:sz w:val="16"/>
          <w:szCs w:val="16"/>
        </w:rPr>
        <w:t>“</w:t>
      </w:r>
      <w:r w:rsidRPr="00E8215F">
        <w:rPr>
          <w:sz w:val="16"/>
          <w:szCs w:val="16"/>
        </w:rPr>
        <w:t xml:space="preserve">Developing more flexible approaches to respite for people living with dementia and their </w:t>
      </w:r>
      <w:proofErr w:type="spellStart"/>
      <w:r w:rsidRPr="00E8215F">
        <w:rPr>
          <w:sz w:val="16"/>
          <w:szCs w:val="16"/>
        </w:rPr>
        <w:t>carers</w:t>
      </w:r>
      <w:proofErr w:type="spellEnd"/>
      <w:r w:rsidRPr="00E8215F">
        <w:rPr>
          <w:sz w:val="16"/>
          <w:szCs w:val="16"/>
        </w:rPr>
        <w:t>.</w:t>
      </w:r>
      <w:r>
        <w:rPr>
          <w:sz w:val="16"/>
          <w:szCs w:val="16"/>
        </w:rPr>
        <w:t>”</w:t>
      </w:r>
      <w:r w:rsidRPr="00E8215F">
        <w:rPr>
          <w:sz w:val="16"/>
          <w:szCs w:val="16"/>
        </w:rPr>
        <w:t xml:space="preserve"> </w:t>
      </w:r>
      <w:r>
        <w:rPr>
          <w:i/>
          <w:sz w:val="16"/>
          <w:szCs w:val="16"/>
        </w:rPr>
        <w:t>American Journal Of Alzheimer’</w:t>
      </w:r>
      <w:r w:rsidRPr="00E8215F">
        <w:rPr>
          <w:i/>
          <w:sz w:val="16"/>
          <w:szCs w:val="16"/>
        </w:rPr>
        <w:t>s Disease And Other Dementias, 21</w:t>
      </w:r>
      <w:r w:rsidRPr="00E8215F">
        <w:rPr>
          <w:sz w:val="16"/>
          <w:szCs w:val="16"/>
        </w:rPr>
        <w:t>(4): 234-241</w:t>
      </w:r>
      <w:r>
        <w:rPr>
          <w:sz w:val="16"/>
          <w:szCs w:val="16"/>
        </w:rPr>
        <w:t>.</w:t>
      </w:r>
    </w:p>
  </w:endnote>
  <w:endnote w:id="41">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Bergeron, L. (2004). </w:t>
      </w:r>
      <w:r>
        <w:rPr>
          <w:sz w:val="16"/>
          <w:szCs w:val="16"/>
        </w:rPr>
        <w:t>“Elder A</w:t>
      </w:r>
      <w:r w:rsidRPr="00E8215F">
        <w:rPr>
          <w:sz w:val="16"/>
          <w:szCs w:val="16"/>
        </w:rPr>
        <w:t>b</w:t>
      </w:r>
      <w:r>
        <w:rPr>
          <w:sz w:val="16"/>
          <w:szCs w:val="16"/>
        </w:rPr>
        <w:t>use: Clinical Assessment and Obligation to R</w:t>
      </w:r>
      <w:r w:rsidRPr="00E8215F">
        <w:rPr>
          <w:sz w:val="16"/>
          <w:szCs w:val="16"/>
        </w:rPr>
        <w:t>eport.</w:t>
      </w:r>
      <w:r>
        <w:rPr>
          <w:sz w:val="16"/>
          <w:szCs w:val="16"/>
        </w:rPr>
        <w:t>”</w:t>
      </w:r>
      <w:r w:rsidRPr="00E8215F">
        <w:rPr>
          <w:sz w:val="16"/>
          <w:szCs w:val="16"/>
        </w:rPr>
        <w:t xml:space="preserve"> In K. A.</w:t>
      </w:r>
      <w:r>
        <w:rPr>
          <w:sz w:val="16"/>
          <w:szCs w:val="16"/>
        </w:rPr>
        <w:t xml:space="preserve"> Kendall-Tackett (Ed.), </w:t>
      </w:r>
      <w:r w:rsidRPr="00434E72">
        <w:rPr>
          <w:i/>
          <w:sz w:val="16"/>
          <w:szCs w:val="16"/>
        </w:rPr>
        <w:t>Health Consequences of Abuse in the Family: A Clinical Guide for Evidence-Based Practice</w:t>
      </w:r>
      <w:r w:rsidRPr="00E8215F">
        <w:rPr>
          <w:sz w:val="16"/>
          <w:szCs w:val="16"/>
        </w:rPr>
        <w:t xml:space="preserve"> (pp. 109-128). Washington, DC: American Psychological Association.</w:t>
      </w:r>
    </w:p>
  </w:endnote>
  <w:endnote w:id="42">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Shanley</w:t>
      </w:r>
      <w:proofErr w:type="spellEnd"/>
      <w:r w:rsidRPr="00E8215F">
        <w:rPr>
          <w:sz w:val="16"/>
          <w:szCs w:val="16"/>
        </w:rPr>
        <w:t xml:space="preserve">, C., Quirke, S., Shaw, L., &amp; </w:t>
      </w:r>
      <w:proofErr w:type="spellStart"/>
      <w:r w:rsidRPr="00E8215F">
        <w:rPr>
          <w:sz w:val="16"/>
          <w:szCs w:val="16"/>
        </w:rPr>
        <w:t>Sammut</w:t>
      </w:r>
      <w:proofErr w:type="spellEnd"/>
      <w:r w:rsidRPr="00E8215F">
        <w:rPr>
          <w:sz w:val="16"/>
          <w:szCs w:val="16"/>
        </w:rPr>
        <w:t xml:space="preserve">, A. (2004). </w:t>
      </w:r>
      <w:r>
        <w:rPr>
          <w:sz w:val="16"/>
          <w:szCs w:val="16"/>
        </w:rPr>
        <w:t>“</w:t>
      </w:r>
      <w:r w:rsidRPr="00E8215F">
        <w:rPr>
          <w:sz w:val="16"/>
          <w:szCs w:val="16"/>
        </w:rPr>
        <w:t>Working with organizations to implement dementia awareness training for public contact staff.</w:t>
      </w:r>
      <w:r>
        <w:rPr>
          <w:sz w:val="16"/>
          <w:szCs w:val="16"/>
        </w:rPr>
        <w:t>”</w:t>
      </w:r>
      <w:r w:rsidRPr="00E8215F">
        <w:rPr>
          <w:sz w:val="16"/>
          <w:szCs w:val="16"/>
        </w:rPr>
        <w:t xml:space="preserve"> </w:t>
      </w:r>
      <w:r w:rsidRPr="00E8215F">
        <w:rPr>
          <w:i/>
          <w:sz w:val="16"/>
          <w:szCs w:val="16"/>
        </w:rPr>
        <w:t>American Journal Of Alzheimer's Disease And Other Dementias, 19</w:t>
      </w:r>
      <w:r w:rsidRPr="00E8215F">
        <w:rPr>
          <w:sz w:val="16"/>
          <w:szCs w:val="16"/>
        </w:rPr>
        <w:t>(3): 166-171.</w:t>
      </w:r>
    </w:p>
  </w:endnote>
  <w:endnote w:id="43">
    <w:p w:rsidR="00485385" w:rsidRDefault="00485385" w:rsidP="00CF294A">
      <w:pPr>
        <w:jc w:val="both"/>
        <w:rPr>
          <w:sz w:val="16"/>
          <w:szCs w:val="16"/>
        </w:rPr>
      </w:pPr>
      <w:r w:rsidRPr="00E8215F">
        <w:rPr>
          <w:rStyle w:val="EndnoteReference"/>
          <w:sz w:val="16"/>
          <w:szCs w:val="16"/>
        </w:rPr>
        <w:endnoteRef/>
      </w:r>
      <w:r w:rsidRPr="00E8215F">
        <w:rPr>
          <w:sz w:val="16"/>
          <w:szCs w:val="16"/>
        </w:rPr>
        <w:t xml:space="preserve"> </w:t>
      </w:r>
      <w:proofErr w:type="spellStart"/>
      <w:r w:rsidRPr="00E8215F">
        <w:rPr>
          <w:sz w:val="16"/>
          <w:szCs w:val="16"/>
        </w:rPr>
        <w:t>Halek</w:t>
      </w:r>
      <w:proofErr w:type="spellEnd"/>
      <w:r w:rsidRPr="00E8215F">
        <w:rPr>
          <w:sz w:val="16"/>
          <w:szCs w:val="16"/>
        </w:rPr>
        <w:t xml:space="preserve">, M., &amp; </w:t>
      </w:r>
      <w:proofErr w:type="spellStart"/>
      <w:r w:rsidRPr="00E8215F">
        <w:rPr>
          <w:sz w:val="16"/>
          <w:szCs w:val="16"/>
        </w:rPr>
        <w:t>Bartholomeyczik</w:t>
      </w:r>
      <w:proofErr w:type="spellEnd"/>
      <w:r w:rsidRPr="00E8215F">
        <w:rPr>
          <w:sz w:val="16"/>
          <w:szCs w:val="16"/>
        </w:rPr>
        <w:t xml:space="preserve">, S. (2012). </w:t>
      </w:r>
      <w:r>
        <w:rPr>
          <w:sz w:val="16"/>
          <w:szCs w:val="16"/>
        </w:rPr>
        <w:t>“</w:t>
      </w:r>
      <w:r w:rsidRPr="00E8215F">
        <w:rPr>
          <w:sz w:val="16"/>
          <w:szCs w:val="16"/>
        </w:rPr>
        <w:t xml:space="preserve">Description of the </w:t>
      </w:r>
      <w:proofErr w:type="spellStart"/>
      <w:r w:rsidRPr="00E8215F">
        <w:rPr>
          <w:sz w:val="16"/>
          <w:szCs w:val="16"/>
        </w:rPr>
        <w:t>behaviour</w:t>
      </w:r>
      <w:proofErr w:type="spellEnd"/>
      <w:r w:rsidRPr="00E8215F">
        <w:rPr>
          <w:sz w:val="16"/>
          <w:szCs w:val="16"/>
        </w:rPr>
        <w:t xml:space="preserve"> of wandering in people with dementia living in nursing </w:t>
      </w:r>
    </w:p>
    <w:p w:rsidR="00485385" w:rsidRPr="00E8215F" w:rsidRDefault="00485385" w:rsidP="00CF294A">
      <w:pPr>
        <w:jc w:val="both"/>
        <w:rPr>
          <w:sz w:val="16"/>
          <w:szCs w:val="16"/>
        </w:rPr>
      </w:pPr>
      <w:r w:rsidRPr="00E8215F">
        <w:rPr>
          <w:sz w:val="16"/>
          <w:szCs w:val="16"/>
        </w:rPr>
        <w:t>homes—A review of the literature.</w:t>
      </w:r>
      <w:r>
        <w:rPr>
          <w:sz w:val="16"/>
          <w:szCs w:val="16"/>
        </w:rPr>
        <w:t>”</w:t>
      </w:r>
      <w:r w:rsidRPr="00E8215F">
        <w:rPr>
          <w:sz w:val="16"/>
          <w:szCs w:val="16"/>
        </w:rPr>
        <w:t xml:space="preserve"> </w:t>
      </w:r>
      <w:r w:rsidRPr="00E8215F">
        <w:rPr>
          <w:i/>
          <w:sz w:val="16"/>
          <w:szCs w:val="16"/>
        </w:rPr>
        <w:t>Scandinavian Journal Of Caring Sciences, 26</w:t>
      </w:r>
      <w:r w:rsidRPr="00E8215F">
        <w:rPr>
          <w:sz w:val="16"/>
          <w:szCs w:val="16"/>
        </w:rPr>
        <w:t>(2): 404-413.</w:t>
      </w:r>
    </w:p>
  </w:endnote>
  <w:endnote w:id="44">
    <w:p w:rsidR="00485385" w:rsidRPr="00E8215F" w:rsidRDefault="00485385" w:rsidP="00CF294A">
      <w:pPr>
        <w:pStyle w:val="EndnoteText"/>
        <w:jc w:val="both"/>
        <w:rPr>
          <w:sz w:val="16"/>
          <w:szCs w:val="16"/>
        </w:rPr>
      </w:pPr>
      <w:r w:rsidRPr="00E8215F">
        <w:rPr>
          <w:rStyle w:val="EndnoteReference"/>
          <w:sz w:val="16"/>
          <w:szCs w:val="16"/>
        </w:rPr>
        <w:endnoteRef/>
      </w:r>
      <w:r w:rsidRPr="00E8215F">
        <w:rPr>
          <w:sz w:val="16"/>
          <w:szCs w:val="16"/>
        </w:rPr>
        <w:t xml:space="preserve"> </w:t>
      </w:r>
      <w:r>
        <w:rPr>
          <w:sz w:val="16"/>
          <w:szCs w:val="16"/>
        </w:rPr>
        <w:t xml:space="preserve">Discussion at the August 22, 2012, meeting of the </w:t>
      </w:r>
      <w:r w:rsidRPr="00E8215F">
        <w:rPr>
          <w:spacing w:val="3"/>
          <w:sz w:val="16"/>
          <w:szCs w:val="16"/>
        </w:rPr>
        <w:t>Legislative Committee on Health Care’s Task Force to Develop a State Plan to Address Alzheimer’s Disease</w:t>
      </w:r>
      <w:r w:rsidRPr="00E8215F">
        <w:rPr>
          <w:sz w:val="16"/>
          <w:szCs w:val="16"/>
        </w:rPr>
        <w:t xml:space="preserve"> (</w:t>
      </w:r>
      <w:r w:rsidRPr="00E8215F">
        <w:rPr>
          <w:spacing w:val="3"/>
          <w:sz w:val="16"/>
          <w:szCs w:val="16"/>
        </w:rPr>
        <w:t xml:space="preserve">Assembly Concurrent Resolution No. 10 [File No. 42, </w:t>
      </w:r>
      <w:r w:rsidRPr="00E8215F">
        <w:rPr>
          <w:i/>
          <w:spacing w:val="3"/>
          <w:sz w:val="16"/>
          <w:szCs w:val="16"/>
        </w:rPr>
        <w:t>Statutes of Nevada 2011</w:t>
      </w:r>
      <w:r>
        <w:rPr>
          <w:i/>
          <w:spacing w:val="3"/>
          <w:sz w:val="16"/>
          <w:szCs w:val="16"/>
        </w:rPr>
        <w:t>])</w:t>
      </w:r>
      <w:r>
        <w:rPr>
          <w:sz w:val="16"/>
          <w:szCs w:val="16"/>
        </w:rPr>
        <w:t>.</w:t>
      </w:r>
    </w:p>
  </w:endnote>
  <w:endnote w:id="45">
    <w:p w:rsidR="00485385" w:rsidRPr="00E8215F" w:rsidRDefault="00485385" w:rsidP="00CF294A">
      <w:pPr>
        <w:jc w:val="both"/>
        <w:rPr>
          <w:sz w:val="16"/>
          <w:szCs w:val="16"/>
        </w:rPr>
      </w:pPr>
      <w:r w:rsidRPr="00E8215F">
        <w:rPr>
          <w:rStyle w:val="EndnoteReference"/>
          <w:sz w:val="16"/>
          <w:szCs w:val="16"/>
        </w:rPr>
        <w:endnoteRef/>
      </w:r>
      <w:r w:rsidRPr="00E8215F">
        <w:rPr>
          <w:sz w:val="16"/>
          <w:szCs w:val="16"/>
        </w:rPr>
        <w:t xml:space="preserve"> Carr, D. B., &amp; </w:t>
      </w:r>
      <w:proofErr w:type="spellStart"/>
      <w:r w:rsidRPr="00E8215F">
        <w:rPr>
          <w:sz w:val="16"/>
          <w:szCs w:val="16"/>
        </w:rPr>
        <w:t>Ott</w:t>
      </w:r>
      <w:proofErr w:type="spellEnd"/>
      <w:r w:rsidRPr="00E8215F">
        <w:rPr>
          <w:sz w:val="16"/>
          <w:szCs w:val="16"/>
        </w:rPr>
        <w:t xml:space="preserve">, B. R. (2010). </w:t>
      </w:r>
      <w:r>
        <w:rPr>
          <w:sz w:val="16"/>
          <w:szCs w:val="16"/>
        </w:rPr>
        <w:t>“</w:t>
      </w:r>
      <w:r w:rsidRPr="00E8215F">
        <w:rPr>
          <w:sz w:val="16"/>
          <w:szCs w:val="16"/>
        </w:rPr>
        <w:t>The older adult dri</w:t>
      </w:r>
      <w:r>
        <w:rPr>
          <w:sz w:val="16"/>
          <w:szCs w:val="16"/>
        </w:rPr>
        <w:t>ver with cognitive impairment:  ‘It’s a very frustrating life.’”</w:t>
      </w:r>
      <w:r w:rsidRPr="00E8215F">
        <w:rPr>
          <w:sz w:val="16"/>
          <w:szCs w:val="16"/>
        </w:rPr>
        <w:t xml:space="preserve"> </w:t>
      </w:r>
      <w:r w:rsidRPr="00E8215F">
        <w:rPr>
          <w:i/>
          <w:sz w:val="16"/>
          <w:szCs w:val="16"/>
        </w:rPr>
        <w:t>Journal Of The American Medical Association, 303</w:t>
      </w:r>
      <w:r w:rsidRPr="00E8215F">
        <w:rPr>
          <w:sz w:val="16"/>
          <w:szCs w:val="16"/>
        </w:rPr>
        <w:t>(16): 1632-1640.</w:t>
      </w:r>
    </w:p>
    <w:p w:rsidR="00485385" w:rsidRDefault="00485385" w:rsidP="00CF294A">
      <w:pPr>
        <w:pStyle w:val="EndnoteText"/>
        <w:jc w:val="both"/>
      </w:pPr>
    </w:p>
    <w:p w:rsidR="00485385" w:rsidRDefault="00485385" w:rsidP="00CF294A">
      <w:pPr>
        <w:pStyle w:val="EndnoteText"/>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99624"/>
      <w:docPartObj>
        <w:docPartGallery w:val="Page Numbers (Bottom of Page)"/>
        <w:docPartUnique/>
      </w:docPartObj>
    </w:sdtPr>
    <w:sdtEndPr>
      <w:rPr>
        <w:noProof/>
      </w:rPr>
    </w:sdtEndPr>
    <w:sdtContent>
      <w:p w:rsidR="00485385" w:rsidRDefault="00485385">
        <w:pPr>
          <w:pStyle w:val="Footer"/>
          <w:jc w:val="center"/>
        </w:pPr>
        <w:fldSimple w:instr=" PAGE   \* MERGEFORMAT ">
          <w:r w:rsidR="00DC22E8">
            <w:rPr>
              <w:noProof/>
            </w:rPr>
            <w:t>31</w:t>
          </w:r>
        </w:fldSimple>
      </w:p>
    </w:sdtContent>
  </w:sdt>
  <w:p w:rsidR="00485385" w:rsidRDefault="00485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23" w:rsidRDefault="00B63023" w:rsidP="001501EF">
      <w:r>
        <w:separator/>
      </w:r>
    </w:p>
  </w:footnote>
  <w:footnote w:type="continuationSeparator" w:id="0">
    <w:p w:rsidR="00B63023" w:rsidRDefault="00B63023" w:rsidP="00150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221"/>
    <w:multiLevelType w:val="hybridMultilevel"/>
    <w:tmpl w:val="FD9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2109"/>
    <w:multiLevelType w:val="hybridMultilevel"/>
    <w:tmpl w:val="3E8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34BD9"/>
    <w:multiLevelType w:val="hybridMultilevel"/>
    <w:tmpl w:val="307EE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53AAC"/>
    <w:multiLevelType w:val="hybridMultilevel"/>
    <w:tmpl w:val="2D56B4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13A43"/>
    <w:multiLevelType w:val="multilevel"/>
    <w:tmpl w:val="307EE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2C40B7"/>
    <w:multiLevelType w:val="hybridMultilevel"/>
    <w:tmpl w:val="CFB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325A6"/>
    <w:multiLevelType w:val="hybridMultilevel"/>
    <w:tmpl w:val="39609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5E04"/>
    <w:multiLevelType w:val="hybridMultilevel"/>
    <w:tmpl w:val="01F0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2159D"/>
    <w:multiLevelType w:val="hybridMultilevel"/>
    <w:tmpl w:val="CED66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05DE1"/>
    <w:multiLevelType w:val="multilevel"/>
    <w:tmpl w:val="7534CB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7286164"/>
    <w:multiLevelType w:val="hybridMultilevel"/>
    <w:tmpl w:val="12EEAE60"/>
    <w:lvl w:ilvl="0" w:tplc="682852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A570A"/>
    <w:multiLevelType w:val="hybridMultilevel"/>
    <w:tmpl w:val="BEF4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E20B1"/>
    <w:multiLevelType w:val="hybridMultilevel"/>
    <w:tmpl w:val="5E60F6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00EDD"/>
    <w:multiLevelType w:val="hybridMultilevel"/>
    <w:tmpl w:val="CF50C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924F73"/>
    <w:multiLevelType w:val="hybridMultilevel"/>
    <w:tmpl w:val="0B8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926DC"/>
    <w:multiLevelType w:val="hybridMultilevel"/>
    <w:tmpl w:val="6AEC5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D81279"/>
    <w:multiLevelType w:val="hybridMultilevel"/>
    <w:tmpl w:val="A47247BC"/>
    <w:lvl w:ilvl="0" w:tplc="E5488D3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E4877"/>
    <w:multiLevelType w:val="hybridMultilevel"/>
    <w:tmpl w:val="78FE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906E1"/>
    <w:multiLevelType w:val="hybridMultilevel"/>
    <w:tmpl w:val="2224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84664"/>
    <w:multiLevelType w:val="hybridMultilevel"/>
    <w:tmpl w:val="7534CBB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E3F28"/>
    <w:multiLevelType w:val="hybridMultilevel"/>
    <w:tmpl w:val="6B8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E4BEC"/>
    <w:multiLevelType w:val="hybridMultilevel"/>
    <w:tmpl w:val="B0B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55E03"/>
    <w:multiLevelType w:val="hybridMultilevel"/>
    <w:tmpl w:val="D33084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1937F6"/>
    <w:multiLevelType w:val="hybridMultilevel"/>
    <w:tmpl w:val="AFF0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F1E3C"/>
    <w:multiLevelType w:val="hybridMultilevel"/>
    <w:tmpl w:val="2458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C5DFA"/>
    <w:multiLevelType w:val="multilevel"/>
    <w:tmpl w:val="6AEC5E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F1E2A5C"/>
    <w:multiLevelType w:val="hybridMultilevel"/>
    <w:tmpl w:val="82D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06A23"/>
    <w:multiLevelType w:val="hybridMultilevel"/>
    <w:tmpl w:val="31A2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D5DB8"/>
    <w:multiLevelType w:val="hybridMultilevel"/>
    <w:tmpl w:val="5E60F6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2561DB"/>
    <w:multiLevelType w:val="hybridMultilevel"/>
    <w:tmpl w:val="A6CA0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15E73"/>
    <w:multiLevelType w:val="hybridMultilevel"/>
    <w:tmpl w:val="5E60F68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3"/>
  </w:num>
  <w:num w:numId="3">
    <w:abstractNumId w:val="20"/>
  </w:num>
  <w:num w:numId="4">
    <w:abstractNumId w:val="17"/>
  </w:num>
  <w:num w:numId="5">
    <w:abstractNumId w:val="6"/>
  </w:num>
  <w:num w:numId="6">
    <w:abstractNumId w:val="29"/>
  </w:num>
  <w:num w:numId="7">
    <w:abstractNumId w:val="22"/>
  </w:num>
  <w:num w:numId="8">
    <w:abstractNumId w:val="16"/>
  </w:num>
  <w:num w:numId="9">
    <w:abstractNumId w:val="15"/>
  </w:num>
  <w:num w:numId="10">
    <w:abstractNumId w:val="2"/>
  </w:num>
  <w:num w:numId="11">
    <w:abstractNumId w:val="30"/>
  </w:num>
  <w:num w:numId="12">
    <w:abstractNumId w:val="8"/>
  </w:num>
  <w:num w:numId="13">
    <w:abstractNumId w:val="1"/>
  </w:num>
  <w:num w:numId="14">
    <w:abstractNumId w:val="14"/>
  </w:num>
  <w:num w:numId="15">
    <w:abstractNumId w:val="12"/>
  </w:num>
  <w:num w:numId="16">
    <w:abstractNumId w:val="4"/>
  </w:num>
  <w:num w:numId="17">
    <w:abstractNumId w:val="19"/>
  </w:num>
  <w:num w:numId="18">
    <w:abstractNumId w:val="9"/>
  </w:num>
  <w:num w:numId="19">
    <w:abstractNumId w:val="25"/>
  </w:num>
  <w:num w:numId="20">
    <w:abstractNumId w:val="3"/>
  </w:num>
  <w:num w:numId="21">
    <w:abstractNumId w:val="24"/>
  </w:num>
  <w:num w:numId="22">
    <w:abstractNumId w:val="13"/>
  </w:num>
  <w:num w:numId="23">
    <w:abstractNumId w:val="26"/>
  </w:num>
  <w:num w:numId="24">
    <w:abstractNumId w:val="11"/>
  </w:num>
  <w:num w:numId="25">
    <w:abstractNumId w:val="21"/>
  </w:num>
  <w:num w:numId="26">
    <w:abstractNumId w:val="18"/>
  </w:num>
  <w:num w:numId="27">
    <w:abstractNumId w:val="27"/>
  </w:num>
  <w:num w:numId="28">
    <w:abstractNumId w:val="5"/>
  </w:num>
  <w:num w:numId="29">
    <w:abstractNumId w:val="28"/>
  </w:num>
  <w:num w:numId="30">
    <w:abstractNumId w:val="7"/>
  </w:num>
  <w:num w:numId="31">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ED79C9"/>
    <w:rsid w:val="000045D9"/>
    <w:rsid w:val="00005EFE"/>
    <w:rsid w:val="00006729"/>
    <w:rsid w:val="00006ADF"/>
    <w:rsid w:val="00010DDA"/>
    <w:rsid w:val="00016863"/>
    <w:rsid w:val="00016C6F"/>
    <w:rsid w:val="00017087"/>
    <w:rsid w:val="00017232"/>
    <w:rsid w:val="00017B13"/>
    <w:rsid w:val="0002086D"/>
    <w:rsid w:val="000216DB"/>
    <w:rsid w:val="00021FC2"/>
    <w:rsid w:val="00023828"/>
    <w:rsid w:val="00023AD7"/>
    <w:rsid w:val="00025BD3"/>
    <w:rsid w:val="0002741A"/>
    <w:rsid w:val="00030948"/>
    <w:rsid w:val="00032F61"/>
    <w:rsid w:val="000336F4"/>
    <w:rsid w:val="00033D86"/>
    <w:rsid w:val="00035BEF"/>
    <w:rsid w:val="000407DC"/>
    <w:rsid w:val="000424EA"/>
    <w:rsid w:val="00042931"/>
    <w:rsid w:val="00043EE0"/>
    <w:rsid w:val="00044DAB"/>
    <w:rsid w:val="00050AE7"/>
    <w:rsid w:val="00050E08"/>
    <w:rsid w:val="00051EA3"/>
    <w:rsid w:val="00052699"/>
    <w:rsid w:val="00053FA7"/>
    <w:rsid w:val="000544F4"/>
    <w:rsid w:val="00055538"/>
    <w:rsid w:val="00057341"/>
    <w:rsid w:val="000609B6"/>
    <w:rsid w:val="00062AD8"/>
    <w:rsid w:val="00062C40"/>
    <w:rsid w:val="000639DA"/>
    <w:rsid w:val="00071D2E"/>
    <w:rsid w:val="00074735"/>
    <w:rsid w:val="00076FA8"/>
    <w:rsid w:val="00077725"/>
    <w:rsid w:val="0008062A"/>
    <w:rsid w:val="00082A8A"/>
    <w:rsid w:val="00083288"/>
    <w:rsid w:val="00084E93"/>
    <w:rsid w:val="00094632"/>
    <w:rsid w:val="000A3F41"/>
    <w:rsid w:val="000A40B0"/>
    <w:rsid w:val="000A4D9D"/>
    <w:rsid w:val="000A5F2A"/>
    <w:rsid w:val="000A72D5"/>
    <w:rsid w:val="000B17FE"/>
    <w:rsid w:val="000B63CE"/>
    <w:rsid w:val="000C0F78"/>
    <w:rsid w:val="000C1234"/>
    <w:rsid w:val="000C1CAD"/>
    <w:rsid w:val="000C6087"/>
    <w:rsid w:val="000D10D7"/>
    <w:rsid w:val="000D1F53"/>
    <w:rsid w:val="000D363E"/>
    <w:rsid w:val="000D40AA"/>
    <w:rsid w:val="000D4EE3"/>
    <w:rsid w:val="000D5A43"/>
    <w:rsid w:val="000D6883"/>
    <w:rsid w:val="000D7DF4"/>
    <w:rsid w:val="000E08A8"/>
    <w:rsid w:val="000E15EF"/>
    <w:rsid w:val="000E2A28"/>
    <w:rsid w:val="000E6749"/>
    <w:rsid w:val="000E79E0"/>
    <w:rsid w:val="000E79F9"/>
    <w:rsid w:val="000E7F72"/>
    <w:rsid w:val="000F0769"/>
    <w:rsid w:val="000F0FCD"/>
    <w:rsid w:val="000F39FF"/>
    <w:rsid w:val="000F459A"/>
    <w:rsid w:val="000F680A"/>
    <w:rsid w:val="000F7377"/>
    <w:rsid w:val="00100286"/>
    <w:rsid w:val="00101605"/>
    <w:rsid w:val="001059EC"/>
    <w:rsid w:val="00107D7A"/>
    <w:rsid w:val="00111390"/>
    <w:rsid w:val="00112E85"/>
    <w:rsid w:val="00115751"/>
    <w:rsid w:val="001161E2"/>
    <w:rsid w:val="001202A7"/>
    <w:rsid w:val="00123959"/>
    <w:rsid w:val="00125EA3"/>
    <w:rsid w:val="00126CE0"/>
    <w:rsid w:val="00130056"/>
    <w:rsid w:val="001313C7"/>
    <w:rsid w:val="00134140"/>
    <w:rsid w:val="001409AC"/>
    <w:rsid w:val="001422D5"/>
    <w:rsid w:val="001501EF"/>
    <w:rsid w:val="001503C9"/>
    <w:rsid w:val="00151251"/>
    <w:rsid w:val="001520C3"/>
    <w:rsid w:val="001533AC"/>
    <w:rsid w:val="00156594"/>
    <w:rsid w:val="00160847"/>
    <w:rsid w:val="00161C7B"/>
    <w:rsid w:val="001622DB"/>
    <w:rsid w:val="001651F2"/>
    <w:rsid w:val="00166691"/>
    <w:rsid w:val="00172DBD"/>
    <w:rsid w:val="0017712C"/>
    <w:rsid w:val="00184258"/>
    <w:rsid w:val="00186EFC"/>
    <w:rsid w:val="00191933"/>
    <w:rsid w:val="00191CC4"/>
    <w:rsid w:val="00191EB0"/>
    <w:rsid w:val="001927F7"/>
    <w:rsid w:val="001934AB"/>
    <w:rsid w:val="001A10DF"/>
    <w:rsid w:val="001A1C4F"/>
    <w:rsid w:val="001A2D12"/>
    <w:rsid w:val="001A5157"/>
    <w:rsid w:val="001A5519"/>
    <w:rsid w:val="001A604A"/>
    <w:rsid w:val="001A678F"/>
    <w:rsid w:val="001B15B5"/>
    <w:rsid w:val="001B277F"/>
    <w:rsid w:val="001B29A4"/>
    <w:rsid w:val="001B5363"/>
    <w:rsid w:val="001C1415"/>
    <w:rsid w:val="001C1E3C"/>
    <w:rsid w:val="001C2ADD"/>
    <w:rsid w:val="001C3A49"/>
    <w:rsid w:val="001C6174"/>
    <w:rsid w:val="001C6A86"/>
    <w:rsid w:val="001D3673"/>
    <w:rsid w:val="001D4D5E"/>
    <w:rsid w:val="001D6901"/>
    <w:rsid w:val="001E00C5"/>
    <w:rsid w:val="001E0AF8"/>
    <w:rsid w:val="001E718E"/>
    <w:rsid w:val="001E72CD"/>
    <w:rsid w:val="001F0BD4"/>
    <w:rsid w:val="001F1D70"/>
    <w:rsid w:val="001F6306"/>
    <w:rsid w:val="001F67C1"/>
    <w:rsid w:val="001F71FC"/>
    <w:rsid w:val="001F737C"/>
    <w:rsid w:val="001F7522"/>
    <w:rsid w:val="001F756F"/>
    <w:rsid w:val="00200AD7"/>
    <w:rsid w:val="0020165D"/>
    <w:rsid w:val="00203409"/>
    <w:rsid w:val="00203D6D"/>
    <w:rsid w:val="00206E24"/>
    <w:rsid w:val="00210C0D"/>
    <w:rsid w:val="002117FD"/>
    <w:rsid w:val="00220AB5"/>
    <w:rsid w:val="00224D9C"/>
    <w:rsid w:val="00225E3C"/>
    <w:rsid w:val="00230B20"/>
    <w:rsid w:val="002349C0"/>
    <w:rsid w:val="002371C4"/>
    <w:rsid w:val="002446B2"/>
    <w:rsid w:val="00244E02"/>
    <w:rsid w:val="00245836"/>
    <w:rsid w:val="00245DB8"/>
    <w:rsid w:val="0024654A"/>
    <w:rsid w:val="0025112B"/>
    <w:rsid w:val="00255FCD"/>
    <w:rsid w:val="0025700E"/>
    <w:rsid w:val="002600D6"/>
    <w:rsid w:val="00261F97"/>
    <w:rsid w:val="0026300B"/>
    <w:rsid w:val="00265F4E"/>
    <w:rsid w:val="00270A8A"/>
    <w:rsid w:val="0027426A"/>
    <w:rsid w:val="00281771"/>
    <w:rsid w:val="00284F52"/>
    <w:rsid w:val="00285C2E"/>
    <w:rsid w:val="0029023A"/>
    <w:rsid w:val="0029126D"/>
    <w:rsid w:val="00293598"/>
    <w:rsid w:val="00294570"/>
    <w:rsid w:val="002A0DAE"/>
    <w:rsid w:val="002A18F2"/>
    <w:rsid w:val="002A4164"/>
    <w:rsid w:val="002A5975"/>
    <w:rsid w:val="002A5DCC"/>
    <w:rsid w:val="002A67D6"/>
    <w:rsid w:val="002A7117"/>
    <w:rsid w:val="002B0C7F"/>
    <w:rsid w:val="002C229F"/>
    <w:rsid w:val="002C383D"/>
    <w:rsid w:val="002C393E"/>
    <w:rsid w:val="002C3C4D"/>
    <w:rsid w:val="002C5393"/>
    <w:rsid w:val="002C55BD"/>
    <w:rsid w:val="002C5E87"/>
    <w:rsid w:val="002C6A97"/>
    <w:rsid w:val="002C6AEF"/>
    <w:rsid w:val="002C6AF8"/>
    <w:rsid w:val="002C749F"/>
    <w:rsid w:val="002D0E14"/>
    <w:rsid w:val="002D33B5"/>
    <w:rsid w:val="002E0532"/>
    <w:rsid w:val="002E09ED"/>
    <w:rsid w:val="002E18D0"/>
    <w:rsid w:val="002E2953"/>
    <w:rsid w:val="002E3D03"/>
    <w:rsid w:val="002E40FC"/>
    <w:rsid w:val="002E464D"/>
    <w:rsid w:val="002E4C7C"/>
    <w:rsid w:val="002E6C8F"/>
    <w:rsid w:val="002F3B0F"/>
    <w:rsid w:val="002F6112"/>
    <w:rsid w:val="002F7832"/>
    <w:rsid w:val="00301655"/>
    <w:rsid w:val="003031B0"/>
    <w:rsid w:val="00307223"/>
    <w:rsid w:val="003108DE"/>
    <w:rsid w:val="00310CA6"/>
    <w:rsid w:val="003111EE"/>
    <w:rsid w:val="00313B92"/>
    <w:rsid w:val="00316954"/>
    <w:rsid w:val="00320B98"/>
    <w:rsid w:val="003238B6"/>
    <w:rsid w:val="00325A3F"/>
    <w:rsid w:val="00326A65"/>
    <w:rsid w:val="003273A5"/>
    <w:rsid w:val="00330504"/>
    <w:rsid w:val="00332A89"/>
    <w:rsid w:val="0033399D"/>
    <w:rsid w:val="0033485B"/>
    <w:rsid w:val="00334E65"/>
    <w:rsid w:val="003363A4"/>
    <w:rsid w:val="00341877"/>
    <w:rsid w:val="00343F0D"/>
    <w:rsid w:val="0034622B"/>
    <w:rsid w:val="00347EEB"/>
    <w:rsid w:val="003517D1"/>
    <w:rsid w:val="00354148"/>
    <w:rsid w:val="003548FF"/>
    <w:rsid w:val="00361199"/>
    <w:rsid w:val="0036160B"/>
    <w:rsid w:val="003647BE"/>
    <w:rsid w:val="003708F9"/>
    <w:rsid w:val="00370E17"/>
    <w:rsid w:val="00371AD2"/>
    <w:rsid w:val="00371EA4"/>
    <w:rsid w:val="003744D6"/>
    <w:rsid w:val="00376A54"/>
    <w:rsid w:val="003823AE"/>
    <w:rsid w:val="00383289"/>
    <w:rsid w:val="003843B8"/>
    <w:rsid w:val="0038597D"/>
    <w:rsid w:val="00391244"/>
    <w:rsid w:val="00391EEC"/>
    <w:rsid w:val="003947D2"/>
    <w:rsid w:val="00396066"/>
    <w:rsid w:val="0039699C"/>
    <w:rsid w:val="00396E3C"/>
    <w:rsid w:val="003A512F"/>
    <w:rsid w:val="003B12A4"/>
    <w:rsid w:val="003B27B4"/>
    <w:rsid w:val="003B29B0"/>
    <w:rsid w:val="003B3DA9"/>
    <w:rsid w:val="003B7F06"/>
    <w:rsid w:val="003C133C"/>
    <w:rsid w:val="003C17F0"/>
    <w:rsid w:val="003C2DCF"/>
    <w:rsid w:val="003C3DEA"/>
    <w:rsid w:val="003D59E4"/>
    <w:rsid w:val="003D6021"/>
    <w:rsid w:val="003D7C77"/>
    <w:rsid w:val="003E04A0"/>
    <w:rsid w:val="003E19F8"/>
    <w:rsid w:val="003E274A"/>
    <w:rsid w:val="003E3DC9"/>
    <w:rsid w:val="003E417A"/>
    <w:rsid w:val="003F11F4"/>
    <w:rsid w:val="003F156D"/>
    <w:rsid w:val="003F1BFC"/>
    <w:rsid w:val="003F1FD3"/>
    <w:rsid w:val="003F2947"/>
    <w:rsid w:val="003F3402"/>
    <w:rsid w:val="003F43FD"/>
    <w:rsid w:val="003F5610"/>
    <w:rsid w:val="003F7CB6"/>
    <w:rsid w:val="003F7D46"/>
    <w:rsid w:val="00401089"/>
    <w:rsid w:val="004069D2"/>
    <w:rsid w:val="00406ACF"/>
    <w:rsid w:val="00407EEA"/>
    <w:rsid w:val="00411EC0"/>
    <w:rsid w:val="0041204B"/>
    <w:rsid w:val="004133DF"/>
    <w:rsid w:val="004155CA"/>
    <w:rsid w:val="004210EE"/>
    <w:rsid w:val="00425339"/>
    <w:rsid w:val="004257F3"/>
    <w:rsid w:val="0043067F"/>
    <w:rsid w:val="00430B23"/>
    <w:rsid w:val="004310F5"/>
    <w:rsid w:val="00431302"/>
    <w:rsid w:val="0043147B"/>
    <w:rsid w:val="00432CEC"/>
    <w:rsid w:val="00434E72"/>
    <w:rsid w:val="004357D1"/>
    <w:rsid w:val="00435896"/>
    <w:rsid w:val="00444B59"/>
    <w:rsid w:val="004463BC"/>
    <w:rsid w:val="00450527"/>
    <w:rsid w:val="00453083"/>
    <w:rsid w:val="00454580"/>
    <w:rsid w:val="00455434"/>
    <w:rsid w:val="0046361F"/>
    <w:rsid w:val="00463E84"/>
    <w:rsid w:val="004649DF"/>
    <w:rsid w:val="0046655B"/>
    <w:rsid w:val="00467264"/>
    <w:rsid w:val="004715A3"/>
    <w:rsid w:val="00471C79"/>
    <w:rsid w:val="00475121"/>
    <w:rsid w:val="00477213"/>
    <w:rsid w:val="00477689"/>
    <w:rsid w:val="00480BAD"/>
    <w:rsid w:val="00482167"/>
    <w:rsid w:val="00482FCA"/>
    <w:rsid w:val="00485385"/>
    <w:rsid w:val="00491DD3"/>
    <w:rsid w:val="0049487B"/>
    <w:rsid w:val="004955B4"/>
    <w:rsid w:val="004A44DD"/>
    <w:rsid w:val="004A5071"/>
    <w:rsid w:val="004A63BE"/>
    <w:rsid w:val="004A6958"/>
    <w:rsid w:val="004A778D"/>
    <w:rsid w:val="004B01E3"/>
    <w:rsid w:val="004B09FC"/>
    <w:rsid w:val="004B221A"/>
    <w:rsid w:val="004B2DAF"/>
    <w:rsid w:val="004B346F"/>
    <w:rsid w:val="004B5ECA"/>
    <w:rsid w:val="004B6F57"/>
    <w:rsid w:val="004B712A"/>
    <w:rsid w:val="004C262C"/>
    <w:rsid w:val="004C4E54"/>
    <w:rsid w:val="004C69F2"/>
    <w:rsid w:val="004C7121"/>
    <w:rsid w:val="004C78F0"/>
    <w:rsid w:val="004D0C8D"/>
    <w:rsid w:val="004D2DDD"/>
    <w:rsid w:val="004D6AE6"/>
    <w:rsid w:val="004D72AC"/>
    <w:rsid w:val="004E02EF"/>
    <w:rsid w:val="004E0477"/>
    <w:rsid w:val="004E21FC"/>
    <w:rsid w:val="004E4250"/>
    <w:rsid w:val="004E6571"/>
    <w:rsid w:val="004F20D8"/>
    <w:rsid w:val="004F41CC"/>
    <w:rsid w:val="004F4709"/>
    <w:rsid w:val="004F48FE"/>
    <w:rsid w:val="004F5242"/>
    <w:rsid w:val="004F68C6"/>
    <w:rsid w:val="004F7E87"/>
    <w:rsid w:val="005019B3"/>
    <w:rsid w:val="0050280F"/>
    <w:rsid w:val="0050291F"/>
    <w:rsid w:val="00502DBD"/>
    <w:rsid w:val="00505F75"/>
    <w:rsid w:val="00506697"/>
    <w:rsid w:val="0050747D"/>
    <w:rsid w:val="005149BB"/>
    <w:rsid w:val="0051522B"/>
    <w:rsid w:val="00517AB6"/>
    <w:rsid w:val="00521199"/>
    <w:rsid w:val="0052151E"/>
    <w:rsid w:val="00521FC0"/>
    <w:rsid w:val="005235A9"/>
    <w:rsid w:val="0052495D"/>
    <w:rsid w:val="005265D1"/>
    <w:rsid w:val="00527CFD"/>
    <w:rsid w:val="005303F9"/>
    <w:rsid w:val="00531448"/>
    <w:rsid w:val="00532618"/>
    <w:rsid w:val="0053272D"/>
    <w:rsid w:val="00534138"/>
    <w:rsid w:val="005427D4"/>
    <w:rsid w:val="00543373"/>
    <w:rsid w:val="005444E3"/>
    <w:rsid w:val="00546688"/>
    <w:rsid w:val="005474F5"/>
    <w:rsid w:val="0055028A"/>
    <w:rsid w:val="00556D86"/>
    <w:rsid w:val="005622FB"/>
    <w:rsid w:val="00563BEC"/>
    <w:rsid w:val="00563F20"/>
    <w:rsid w:val="005705D7"/>
    <w:rsid w:val="00573295"/>
    <w:rsid w:val="00574284"/>
    <w:rsid w:val="00575E4A"/>
    <w:rsid w:val="00576117"/>
    <w:rsid w:val="00576757"/>
    <w:rsid w:val="00577A5C"/>
    <w:rsid w:val="00577F2A"/>
    <w:rsid w:val="005839D8"/>
    <w:rsid w:val="005844F4"/>
    <w:rsid w:val="005851BC"/>
    <w:rsid w:val="00585971"/>
    <w:rsid w:val="00592EA5"/>
    <w:rsid w:val="005942ED"/>
    <w:rsid w:val="00596404"/>
    <w:rsid w:val="005968EE"/>
    <w:rsid w:val="005A0FBE"/>
    <w:rsid w:val="005A4D71"/>
    <w:rsid w:val="005A5A0F"/>
    <w:rsid w:val="005A6F82"/>
    <w:rsid w:val="005B14BF"/>
    <w:rsid w:val="005B6080"/>
    <w:rsid w:val="005C010D"/>
    <w:rsid w:val="005C3AD7"/>
    <w:rsid w:val="005C4691"/>
    <w:rsid w:val="005C4AA7"/>
    <w:rsid w:val="005C5C6E"/>
    <w:rsid w:val="005C6D1E"/>
    <w:rsid w:val="005C75BB"/>
    <w:rsid w:val="005D47C5"/>
    <w:rsid w:val="005D587C"/>
    <w:rsid w:val="005D631F"/>
    <w:rsid w:val="005D653C"/>
    <w:rsid w:val="005E0C31"/>
    <w:rsid w:val="005E36A9"/>
    <w:rsid w:val="005E4A63"/>
    <w:rsid w:val="005E5637"/>
    <w:rsid w:val="005E6566"/>
    <w:rsid w:val="005E710B"/>
    <w:rsid w:val="005F06B0"/>
    <w:rsid w:val="005F1B03"/>
    <w:rsid w:val="005F255D"/>
    <w:rsid w:val="005F362F"/>
    <w:rsid w:val="005F52EB"/>
    <w:rsid w:val="005F6AC6"/>
    <w:rsid w:val="0060284A"/>
    <w:rsid w:val="006055B2"/>
    <w:rsid w:val="00605760"/>
    <w:rsid w:val="0060729C"/>
    <w:rsid w:val="006076F2"/>
    <w:rsid w:val="00607FE1"/>
    <w:rsid w:val="006102DE"/>
    <w:rsid w:val="00610FD6"/>
    <w:rsid w:val="0061158B"/>
    <w:rsid w:val="00611F58"/>
    <w:rsid w:val="00612691"/>
    <w:rsid w:val="00614945"/>
    <w:rsid w:val="00614C4D"/>
    <w:rsid w:val="00615193"/>
    <w:rsid w:val="00616793"/>
    <w:rsid w:val="0061686C"/>
    <w:rsid w:val="00621545"/>
    <w:rsid w:val="00623731"/>
    <w:rsid w:val="00623A5C"/>
    <w:rsid w:val="006241CE"/>
    <w:rsid w:val="006243A1"/>
    <w:rsid w:val="00627C9D"/>
    <w:rsid w:val="006359A7"/>
    <w:rsid w:val="00642432"/>
    <w:rsid w:val="006429FE"/>
    <w:rsid w:val="00646CAE"/>
    <w:rsid w:val="00647B9F"/>
    <w:rsid w:val="0065043F"/>
    <w:rsid w:val="00650AB7"/>
    <w:rsid w:val="00651583"/>
    <w:rsid w:val="00654C3E"/>
    <w:rsid w:val="0065656E"/>
    <w:rsid w:val="00657DD3"/>
    <w:rsid w:val="00661A7E"/>
    <w:rsid w:val="00667A11"/>
    <w:rsid w:val="00676B74"/>
    <w:rsid w:val="00680547"/>
    <w:rsid w:val="00680AC3"/>
    <w:rsid w:val="00680C95"/>
    <w:rsid w:val="00681368"/>
    <w:rsid w:val="00681A9F"/>
    <w:rsid w:val="00681B42"/>
    <w:rsid w:val="006824E9"/>
    <w:rsid w:val="006849EF"/>
    <w:rsid w:val="00691699"/>
    <w:rsid w:val="00692B6D"/>
    <w:rsid w:val="00693B33"/>
    <w:rsid w:val="006943F4"/>
    <w:rsid w:val="006964E4"/>
    <w:rsid w:val="006A37E6"/>
    <w:rsid w:val="006A401C"/>
    <w:rsid w:val="006A7E74"/>
    <w:rsid w:val="006B3FA5"/>
    <w:rsid w:val="006C3E0D"/>
    <w:rsid w:val="006C7B6A"/>
    <w:rsid w:val="006D0C36"/>
    <w:rsid w:val="006D0F29"/>
    <w:rsid w:val="006D11D2"/>
    <w:rsid w:val="006D1762"/>
    <w:rsid w:val="006D31F4"/>
    <w:rsid w:val="006D79A7"/>
    <w:rsid w:val="006D7DF7"/>
    <w:rsid w:val="006E0B18"/>
    <w:rsid w:val="006E21CA"/>
    <w:rsid w:val="006E3341"/>
    <w:rsid w:val="006E38D7"/>
    <w:rsid w:val="006E7B8F"/>
    <w:rsid w:val="006F20A5"/>
    <w:rsid w:val="006F2571"/>
    <w:rsid w:val="006F5471"/>
    <w:rsid w:val="006F6BAF"/>
    <w:rsid w:val="007011D6"/>
    <w:rsid w:val="00703043"/>
    <w:rsid w:val="0070389A"/>
    <w:rsid w:val="007038DA"/>
    <w:rsid w:val="00704A52"/>
    <w:rsid w:val="00705D6C"/>
    <w:rsid w:val="007074F6"/>
    <w:rsid w:val="007121E9"/>
    <w:rsid w:val="00712EB1"/>
    <w:rsid w:val="00720552"/>
    <w:rsid w:val="007227C4"/>
    <w:rsid w:val="00723D94"/>
    <w:rsid w:val="00724D22"/>
    <w:rsid w:val="007255A1"/>
    <w:rsid w:val="00727324"/>
    <w:rsid w:val="0073033C"/>
    <w:rsid w:val="00735ABB"/>
    <w:rsid w:val="0073616F"/>
    <w:rsid w:val="00740AF0"/>
    <w:rsid w:val="00742FEE"/>
    <w:rsid w:val="007440A6"/>
    <w:rsid w:val="00746C9E"/>
    <w:rsid w:val="00746D7E"/>
    <w:rsid w:val="00750BA5"/>
    <w:rsid w:val="00750F32"/>
    <w:rsid w:val="0075196F"/>
    <w:rsid w:val="007529CC"/>
    <w:rsid w:val="00754BD5"/>
    <w:rsid w:val="007555D1"/>
    <w:rsid w:val="00755A64"/>
    <w:rsid w:val="007562B2"/>
    <w:rsid w:val="007563CB"/>
    <w:rsid w:val="00760CC1"/>
    <w:rsid w:val="00760E12"/>
    <w:rsid w:val="00761C2B"/>
    <w:rsid w:val="00764EB5"/>
    <w:rsid w:val="00766021"/>
    <w:rsid w:val="00766759"/>
    <w:rsid w:val="00772620"/>
    <w:rsid w:val="007727EE"/>
    <w:rsid w:val="00772956"/>
    <w:rsid w:val="0078248E"/>
    <w:rsid w:val="00784082"/>
    <w:rsid w:val="00790141"/>
    <w:rsid w:val="0079068D"/>
    <w:rsid w:val="00790F21"/>
    <w:rsid w:val="00794E62"/>
    <w:rsid w:val="00794EA9"/>
    <w:rsid w:val="007A0B43"/>
    <w:rsid w:val="007A140C"/>
    <w:rsid w:val="007A40F7"/>
    <w:rsid w:val="007A6913"/>
    <w:rsid w:val="007A6CC2"/>
    <w:rsid w:val="007A7CFC"/>
    <w:rsid w:val="007B11AA"/>
    <w:rsid w:val="007B2BCB"/>
    <w:rsid w:val="007B511A"/>
    <w:rsid w:val="007B5C6C"/>
    <w:rsid w:val="007B61F1"/>
    <w:rsid w:val="007C0B45"/>
    <w:rsid w:val="007C2173"/>
    <w:rsid w:val="007C3893"/>
    <w:rsid w:val="007C42BB"/>
    <w:rsid w:val="007C70C9"/>
    <w:rsid w:val="007C7144"/>
    <w:rsid w:val="007D1D4D"/>
    <w:rsid w:val="007E0062"/>
    <w:rsid w:val="007E056F"/>
    <w:rsid w:val="007E45BA"/>
    <w:rsid w:val="007E55ED"/>
    <w:rsid w:val="007F03D4"/>
    <w:rsid w:val="007F1299"/>
    <w:rsid w:val="007F1DAA"/>
    <w:rsid w:val="007F36A7"/>
    <w:rsid w:val="007F5083"/>
    <w:rsid w:val="00800064"/>
    <w:rsid w:val="00800BEB"/>
    <w:rsid w:val="00801C2D"/>
    <w:rsid w:val="00802C57"/>
    <w:rsid w:val="00802CC3"/>
    <w:rsid w:val="0080326E"/>
    <w:rsid w:val="00805D48"/>
    <w:rsid w:val="008077C9"/>
    <w:rsid w:val="00811443"/>
    <w:rsid w:val="0081151A"/>
    <w:rsid w:val="00812A69"/>
    <w:rsid w:val="00816B81"/>
    <w:rsid w:val="00817D72"/>
    <w:rsid w:val="00820532"/>
    <w:rsid w:val="00820A50"/>
    <w:rsid w:val="00822352"/>
    <w:rsid w:val="00822E14"/>
    <w:rsid w:val="00822E75"/>
    <w:rsid w:val="0082604E"/>
    <w:rsid w:val="0082751F"/>
    <w:rsid w:val="008302F1"/>
    <w:rsid w:val="00831635"/>
    <w:rsid w:val="00832ACC"/>
    <w:rsid w:val="008330D3"/>
    <w:rsid w:val="00842B21"/>
    <w:rsid w:val="0084317B"/>
    <w:rsid w:val="00846797"/>
    <w:rsid w:val="00847591"/>
    <w:rsid w:val="00847B3E"/>
    <w:rsid w:val="00850CAC"/>
    <w:rsid w:val="00853CEB"/>
    <w:rsid w:val="00855A6F"/>
    <w:rsid w:val="008562F5"/>
    <w:rsid w:val="00860412"/>
    <w:rsid w:val="008615C5"/>
    <w:rsid w:val="008628D4"/>
    <w:rsid w:val="00863377"/>
    <w:rsid w:val="008653CE"/>
    <w:rsid w:val="00865DC4"/>
    <w:rsid w:val="00866836"/>
    <w:rsid w:val="00867173"/>
    <w:rsid w:val="00873264"/>
    <w:rsid w:val="00874399"/>
    <w:rsid w:val="00882370"/>
    <w:rsid w:val="00882C08"/>
    <w:rsid w:val="008874A8"/>
    <w:rsid w:val="00890F57"/>
    <w:rsid w:val="00891430"/>
    <w:rsid w:val="0089461F"/>
    <w:rsid w:val="00894BB5"/>
    <w:rsid w:val="00897508"/>
    <w:rsid w:val="008A0A94"/>
    <w:rsid w:val="008A21DF"/>
    <w:rsid w:val="008A3F36"/>
    <w:rsid w:val="008A68B0"/>
    <w:rsid w:val="008B0386"/>
    <w:rsid w:val="008B1E93"/>
    <w:rsid w:val="008B28CC"/>
    <w:rsid w:val="008B3DC4"/>
    <w:rsid w:val="008B5519"/>
    <w:rsid w:val="008B67F2"/>
    <w:rsid w:val="008C0283"/>
    <w:rsid w:val="008C0F66"/>
    <w:rsid w:val="008C15EB"/>
    <w:rsid w:val="008C7DCA"/>
    <w:rsid w:val="008D1185"/>
    <w:rsid w:val="008D151C"/>
    <w:rsid w:val="008D156B"/>
    <w:rsid w:val="008D1687"/>
    <w:rsid w:val="008D3CDA"/>
    <w:rsid w:val="008D57FC"/>
    <w:rsid w:val="008E18A0"/>
    <w:rsid w:val="008E21C2"/>
    <w:rsid w:val="008E287F"/>
    <w:rsid w:val="008E3F67"/>
    <w:rsid w:val="008F0240"/>
    <w:rsid w:val="008F2CAD"/>
    <w:rsid w:val="008F533D"/>
    <w:rsid w:val="008F5BB6"/>
    <w:rsid w:val="008F61F3"/>
    <w:rsid w:val="00900C07"/>
    <w:rsid w:val="009042B3"/>
    <w:rsid w:val="0090478D"/>
    <w:rsid w:val="009048D9"/>
    <w:rsid w:val="00912780"/>
    <w:rsid w:val="009132AE"/>
    <w:rsid w:val="00915F89"/>
    <w:rsid w:val="00916873"/>
    <w:rsid w:val="00916D17"/>
    <w:rsid w:val="00920635"/>
    <w:rsid w:val="00920E8F"/>
    <w:rsid w:val="009224E9"/>
    <w:rsid w:val="00923591"/>
    <w:rsid w:val="00924ED9"/>
    <w:rsid w:val="00930C57"/>
    <w:rsid w:val="00931690"/>
    <w:rsid w:val="00935519"/>
    <w:rsid w:val="00941028"/>
    <w:rsid w:val="009412A1"/>
    <w:rsid w:val="00941E15"/>
    <w:rsid w:val="009435B2"/>
    <w:rsid w:val="00943C50"/>
    <w:rsid w:val="0094574B"/>
    <w:rsid w:val="00953090"/>
    <w:rsid w:val="00956CD9"/>
    <w:rsid w:val="009601F1"/>
    <w:rsid w:val="009624DD"/>
    <w:rsid w:val="0096404B"/>
    <w:rsid w:val="00964C34"/>
    <w:rsid w:val="00964EE2"/>
    <w:rsid w:val="00966BCD"/>
    <w:rsid w:val="00966BDB"/>
    <w:rsid w:val="0096775B"/>
    <w:rsid w:val="00970DB8"/>
    <w:rsid w:val="00971D20"/>
    <w:rsid w:val="00976E21"/>
    <w:rsid w:val="00977F6D"/>
    <w:rsid w:val="00980093"/>
    <w:rsid w:val="009816EF"/>
    <w:rsid w:val="009825AC"/>
    <w:rsid w:val="00984361"/>
    <w:rsid w:val="00985425"/>
    <w:rsid w:val="00992245"/>
    <w:rsid w:val="0099227E"/>
    <w:rsid w:val="009937EC"/>
    <w:rsid w:val="009939FF"/>
    <w:rsid w:val="00997E8D"/>
    <w:rsid w:val="009A279B"/>
    <w:rsid w:val="009A3C5F"/>
    <w:rsid w:val="009A4C4E"/>
    <w:rsid w:val="009A61DA"/>
    <w:rsid w:val="009A67BD"/>
    <w:rsid w:val="009B1099"/>
    <w:rsid w:val="009B1DA2"/>
    <w:rsid w:val="009B5D39"/>
    <w:rsid w:val="009B601D"/>
    <w:rsid w:val="009B6733"/>
    <w:rsid w:val="009C50CC"/>
    <w:rsid w:val="009C55BD"/>
    <w:rsid w:val="009C564F"/>
    <w:rsid w:val="009C6BBE"/>
    <w:rsid w:val="009C72AF"/>
    <w:rsid w:val="009D1C74"/>
    <w:rsid w:val="009D6BC0"/>
    <w:rsid w:val="009D6E53"/>
    <w:rsid w:val="009E0973"/>
    <w:rsid w:val="009E493E"/>
    <w:rsid w:val="009E4A9B"/>
    <w:rsid w:val="009E5341"/>
    <w:rsid w:val="009E54BA"/>
    <w:rsid w:val="009E72F8"/>
    <w:rsid w:val="009F0218"/>
    <w:rsid w:val="009F0FDA"/>
    <w:rsid w:val="009F1011"/>
    <w:rsid w:val="00A02529"/>
    <w:rsid w:val="00A047C6"/>
    <w:rsid w:val="00A07945"/>
    <w:rsid w:val="00A07995"/>
    <w:rsid w:val="00A10C1B"/>
    <w:rsid w:val="00A114A9"/>
    <w:rsid w:val="00A131A0"/>
    <w:rsid w:val="00A1366A"/>
    <w:rsid w:val="00A14CF4"/>
    <w:rsid w:val="00A15C66"/>
    <w:rsid w:val="00A17302"/>
    <w:rsid w:val="00A218EB"/>
    <w:rsid w:val="00A247DB"/>
    <w:rsid w:val="00A256D0"/>
    <w:rsid w:val="00A30122"/>
    <w:rsid w:val="00A3072C"/>
    <w:rsid w:val="00A3551C"/>
    <w:rsid w:val="00A368CD"/>
    <w:rsid w:val="00A36920"/>
    <w:rsid w:val="00A46EEB"/>
    <w:rsid w:val="00A51E53"/>
    <w:rsid w:val="00A52311"/>
    <w:rsid w:val="00A525ED"/>
    <w:rsid w:val="00A5421B"/>
    <w:rsid w:val="00A56B79"/>
    <w:rsid w:val="00A56BA3"/>
    <w:rsid w:val="00A57DA5"/>
    <w:rsid w:val="00A6287E"/>
    <w:rsid w:val="00A730F9"/>
    <w:rsid w:val="00A73984"/>
    <w:rsid w:val="00A75265"/>
    <w:rsid w:val="00A75636"/>
    <w:rsid w:val="00A805C2"/>
    <w:rsid w:val="00A806C7"/>
    <w:rsid w:val="00A815B9"/>
    <w:rsid w:val="00A83675"/>
    <w:rsid w:val="00A950B3"/>
    <w:rsid w:val="00A971C0"/>
    <w:rsid w:val="00A97556"/>
    <w:rsid w:val="00AA2EF1"/>
    <w:rsid w:val="00AA306A"/>
    <w:rsid w:val="00AA6E9F"/>
    <w:rsid w:val="00AB074D"/>
    <w:rsid w:val="00AB0800"/>
    <w:rsid w:val="00AB0F27"/>
    <w:rsid w:val="00AB1E1B"/>
    <w:rsid w:val="00AB352E"/>
    <w:rsid w:val="00AB3CCC"/>
    <w:rsid w:val="00AB50D9"/>
    <w:rsid w:val="00AB5AF6"/>
    <w:rsid w:val="00AB7A31"/>
    <w:rsid w:val="00AB7CF5"/>
    <w:rsid w:val="00AC140D"/>
    <w:rsid w:val="00AC1747"/>
    <w:rsid w:val="00AC25E2"/>
    <w:rsid w:val="00AC3A44"/>
    <w:rsid w:val="00AC754F"/>
    <w:rsid w:val="00AC7EE2"/>
    <w:rsid w:val="00AD13D7"/>
    <w:rsid w:val="00AD2E47"/>
    <w:rsid w:val="00AD3A74"/>
    <w:rsid w:val="00AE2009"/>
    <w:rsid w:val="00AE4714"/>
    <w:rsid w:val="00AE63CC"/>
    <w:rsid w:val="00AE7348"/>
    <w:rsid w:val="00AF145D"/>
    <w:rsid w:val="00AF4F50"/>
    <w:rsid w:val="00B0065A"/>
    <w:rsid w:val="00B0276F"/>
    <w:rsid w:val="00B03BEE"/>
    <w:rsid w:val="00B1053D"/>
    <w:rsid w:val="00B113B9"/>
    <w:rsid w:val="00B116DC"/>
    <w:rsid w:val="00B13442"/>
    <w:rsid w:val="00B21A0C"/>
    <w:rsid w:val="00B23271"/>
    <w:rsid w:val="00B24FAE"/>
    <w:rsid w:val="00B2718B"/>
    <w:rsid w:val="00B30A11"/>
    <w:rsid w:val="00B32B8C"/>
    <w:rsid w:val="00B35407"/>
    <w:rsid w:val="00B35A6E"/>
    <w:rsid w:val="00B377DA"/>
    <w:rsid w:val="00B427C6"/>
    <w:rsid w:val="00B42D0E"/>
    <w:rsid w:val="00B45ADD"/>
    <w:rsid w:val="00B46718"/>
    <w:rsid w:val="00B47B39"/>
    <w:rsid w:val="00B509C7"/>
    <w:rsid w:val="00B50A39"/>
    <w:rsid w:val="00B50F11"/>
    <w:rsid w:val="00B54597"/>
    <w:rsid w:val="00B57934"/>
    <w:rsid w:val="00B605E6"/>
    <w:rsid w:val="00B622ED"/>
    <w:rsid w:val="00B62337"/>
    <w:rsid w:val="00B63023"/>
    <w:rsid w:val="00B6503A"/>
    <w:rsid w:val="00B6646A"/>
    <w:rsid w:val="00B724DC"/>
    <w:rsid w:val="00B73CDB"/>
    <w:rsid w:val="00B74BC3"/>
    <w:rsid w:val="00B76D44"/>
    <w:rsid w:val="00B77534"/>
    <w:rsid w:val="00B808CD"/>
    <w:rsid w:val="00B81C5D"/>
    <w:rsid w:val="00B81E65"/>
    <w:rsid w:val="00B84814"/>
    <w:rsid w:val="00B856F8"/>
    <w:rsid w:val="00B85867"/>
    <w:rsid w:val="00B917D5"/>
    <w:rsid w:val="00B923FC"/>
    <w:rsid w:val="00B930F6"/>
    <w:rsid w:val="00B96140"/>
    <w:rsid w:val="00BA0A87"/>
    <w:rsid w:val="00BA0B61"/>
    <w:rsid w:val="00BA42AD"/>
    <w:rsid w:val="00BA4402"/>
    <w:rsid w:val="00BA4454"/>
    <w:rsid w:val="00BA4B7D"/>
    <w:rsid w:val="00BA57D5"/>
    <w:rsid w:val="00BB291F"/>
    <w:rsid w:val="00BB312D"/>
    <w:rsid w:val="00BB39FB"/>
    <w:rsid w:val="00BB7651"/>
    <w:rsid w:val="00BC404C"/>
    <w:rsid w:val="00BC59EE"/>
    <w:rsid w:val="00BC6D5C"/>
    <w:rsid w:val="00BD0211"/>
    <w:rsid w:val="00BD02B4"/>
    <w:rsid w:val="00BD3471"/>
    <w:rsid w:val="00BD39D3"/>
    <w:rsid w:val="00BE141F"/>
    <w:rsid w:val="00BE1A2E"/>
    <w:rsid w:val="00BE2B0C"/>
    <w:rsid w:val="00BE2D9A"/>
    <w:rsid w:val="00BE32BE"/>
    <w:rsid w:val="00BE4415"/>
    <w:rsid w:val="00BE648B"/>
    <w:rsid w:val="00BE706B"/>
    <w:rsid w:val="00BE7D72"/>
    <w:rsid w:val="00BF00AD"/>
    <w:rsid w:val="00BF11EF"/>
    <w:rsid w:val="00BF3B08"/>
    <w:rsid w:val="00BF3B5C"/>
    <w:rsid w:val="00BF7BB1"/>
    <w:rsid w:val="00BF7C1F"/>
    <w:rsid w:val="00C021D7"/>
    <w:rsid w:val="00C02853"/>
    <w:rsid w:val="00C061C2"/>
    <w:rsid w:val="00C07205"/>
    <w:rsid w:val="00C07542"/>
    <w:rsid w:val="00C10B71"/>
    <w:rsid w:val="00C10FEB"/>
    <w:rsid w:val="00C13F1F"/>
    <w:rsid w:val="00C16A5D"/>
    <w:rsid w:val="00C209FD"/>
    <w:rsid w:val="00C26836"/>
    <w:rsid w:val="00C277C2"/>
    <w:rsid w:val="00C34451"/>
    <w:rsid w:val="00C34E19"/>
    <w:rsid w:val="00C36651"/>
    <w:rsid w:val="00C3797C"/>
    <w:rsid w:val="00C401B2"/>
    <w:rsid w:val="00C4163C"/>
    <w:rsid w:val="00C44DE2"/>
    <w:rsid w:val="00C4501F"/>
    <w:rsid w:val="00C50F33"/>
    <w:rsid w:val="00C52482"/>
    <w:rsid w:val="00C53EC3"/>
    <w:rsid w:val="00C559A1"/>
    <w:rsid w:val="00C57E4A"/>
    <w:rsid w:val="00C60163"/>
    <w:rsid w:val="00C614AC"/>
    <w:rsid w:val="00C6378E"/>
    <w:rsid w:val="00C63A82"/>
    <w:rsid w:val="00C67D25"/>
    <w:rsid w:val="00C70155"/>
    <w:rsid w:val="00C70A02"/>
    <w:rsid w:val="00C7143C"/>
    <w:rsid w:val="00C74E89"/>
    <w:rsid w:val="00C756E5"/>
    <w:rsid w:val="00C7791B"/>
    <w:rsid w:val="00C81F57"/>
    <w:rsid w:val="00C8459E"/>
    <w:rsid w:val="00C8701C"/>
    <w:rsid w:val="00C90AC0"/>
    <w:rsid w:val="00C91F38"/>
    <w:rsid w:val="00C9434A"/>
    <w:rsid w:val="00C94491"/>
    <w:rsid w:val="00C958F0"/>
    <w:rsid w:val="00C95C18"/>
    <w:rsid w:val="00CA0AF9"/>
    <w:rsid w:val="00CA186F"/>
    <w:rsid w:val="00CA2896"/>
    <w:rsid w:val="00CA28EA"/>
    <w:rsid w:val="00CA4246"/>
    <w:rsid w:val="00CB236B"/>
    <w:rsid w:val="00CB2B7B"/>
    <w:rsid w:val="00CB2F56"/>
    <w:rsid w:val="00CB37E2"/>
    <w:rsid w:val="00CB3AE3"/>
    <w:rsid w:val="00CC0133"/>
    <w:rsid w:val="00CC0762"/>
    <w:rsid w:val="00CC2A8D"/>
    <w:rsid w:val="00CC38BA"/>
    <w:rsid w:val="00CC4327"/>
    <w:rsid w:val="00CC73C6"/>
    <w:rsid w:val="00CD1C5A"/>
    <w:rsid w:val="00CD22A6"/>
    <w:rsid w:val="00CD546A"/>
    <w:rsid w:val="00CD5FD7"/>
    <w:rsid w:val="00CE19AA"/>
    <w:rsid w:val="00CE1DB6"/>
    <w:rsid w:val="00CF004D"/>
    <w:rsid w:val="00CF05A2"/>
    <w:rsid w:val="00CF0665"/>
    <w:rsid w:val="00CF2247"/>
    <w:rsid w:val="00CF294A"/>
    <w:rsid w:val="00CF3958"/>
    <w:rsid w:val="00CF409C"/>
    <w:rsid w:val="00CF6829"/>
    <w:rsid w:val="00CF7027"/>
    <w:rsid w:val="00D01E74"/>
    <w:rsid w:val="00D02AA2"/>
    <w:rsid w:val="00D06B64"/>
    <w:rsid w:val="00D12F1F"/>
    <w:rsid w:val="00D13BF5"/>
    <w:rsid w:val="00D14198"/>
    <w:rsid w:val="00D146A4"/>
    <w:rsid w:val="00D16CDF"/>
    <w:rsid w:val="00D179EF"/>
    <w:rsid w:val="00D2171A"/>
    <w:rsid w:val="00D2276A"/>
    <w:rsid w:val="00D246BB"/>
    <w:rsid w:val="00D24FA8"/>
    <w:rsid w:val="00D33805"/>
    <w:rsid w:val="00D341F3"/>
    <w:rsid w:val="00D36733"/>
    <w:rsid w:val="00D40C6D"/>
    <w:rsid w:val="00D44363"/>
    <w:rsid w:val="00D44B92"/>
    <w:rsid w:val="00D525A8"/>
    <w:rsid w:val="00D55163"/>
    <w:rsid w:val="00D56AEF"/>
    <w:rsid w:val="00D60D66"/>
    <w:rsid w:val="00D61988"/>
    <w:rsid w:val="00D62DEC"/>
    <w:rsid w:val="00D64A41"/>
    <w:rsid w:val="00D67558"/>
    <w:rsid w:val="00D67970"/>
    <w:rsid w:val="00D679FC"/>
    <w:rsid w:val="00D67BA3"/>
    <w:rsid w:val="00D67D24"/>
    <w:rsid w:val="00D67E1C"/>
    <w:rsid w:val="00D76275"/>
    <w:rsid w:val="00D81CA0"/>
    <w:rsid w:val="00D82037"/>
    <w:rsid w:val="00D83D49"/>
    <w:rsid w:val="00D84177"/>
    <w:rsid w:val="00D84269"/>
    <w:rsid w:val="00D85640"/>
    <w:rsid w:val="00D8790F"/>
    <w:rsid w:val="00D92C09"/>
    <w:rsid w:val="00D97E11"/>
    <w:rsid w:val="00DA5BED"/>
    <w:rsid w:val="00DB0026"/>
    <w:rsid w:val="00DB7994"/>
    <w:rsid w:val="00DC2091"/>
    <w:rsid w:val="00DC216C"/>
    <w:rsid w:val="00DC22E8"/>
    <w:rsid w:val="00DC254F"/>
    <w:rsid w:val="00DD0C1F"/>
    <w:rsid w:val="00DD3B0A"/>
    <w:rsid w:val="00DD5869"/>
    <w:rsid w:val="00DD6E0F"/>
    <w:rsid w:val="00DE0833"/>
    <w:rsid w:val="00DE1940"/>
    <w:rsid w:val="00DE7D35"/>
    <w:rsid w:val="00DF1660"/>
    <w:rsid w:val="00DF18AC"/>
    <w:rsid w:val="00DF1C30"/>
    <w:rsid w:val="00DF4F4C"/>
    <w:rsid w:val="00DF6747"/>
    <w:rsid w:val="00E00053"/>
    <w:rsid w:val="00E042BD"/>
    <w:rsid w:val="00E044CE"/>
    <w:rsid w:val="00E06A0D"/>
    <w:rsid w:val="00E12662"/>
    <w:rsid w:val="00E150C8"/>
    <w:rsid w:val="00E15B51"/>
    <w:rsid w:val="00E17639"/>
    <w:rsid w:val="00E209FB"/>
    <w:rsid w:val="00E2220D"/>
    <w:rsid w:val="00E232BB"/>
    <w:rsid w:val="00E2652E"/>
    <w:rsid w:val="00E26705"/>
    <w:rsid w:val="00E27C39"/>
    <w:rsid w:val="00E3589E"/>
    <w:rsid w:val="00E37571"/>
    <w:rsid w:val="00E4666C"/>
    <w:rsid w:val="00E535DB"/>
    <w:rsid w:val="00E61F5B"/>
    <w:rsid w:val="00E63BAB"/>
    <w:rsid w:val="00E674EE"/>
    <w:rsid w:val="00E70C64"/>
    <w:rsid w:val="00E72693"/>
    <w:rsid w:val="00E74F65"/>
    <w:rsid w:val="00E755C8"/>
    <w:rsid w:val="00E76D1C"/>
    <w:rsid w:val="00E8215F"/>
    <w:rsid w:val="00E82F05"/>
    <w:rsid w:val="00E833F3"/>
    <w:rsid w:val="00E8430E"/>
    <w:rsid w:val="00E8591F"/>
    <w:rsid w:val="00E86012"/>
    <w:rsid w:val="00E870FB"/>
    <w:rsid w:val="00E8747C"/>
    <w:rsid w:val="00E93289"/>
    <w:rsid w:val="00EA1655"/>
    <w:rsid w:val="00EA1F36"/>
    <w:rsid w:val="00EA36FE"/>
    <w:rsid w:val="00EA4B94"/>
    <w:rsid w:val="00EA579E"/>
    <w:rsid w:val="00EB0B90"/>
    <w:rsid w:val="00EB12DC"/>
    <w:rsid w:val="00EB5E4E"/>
    <w:rsid w:val="00EB632A"/>
    <w:rsid w:val="00EC0515"/>
    <w:rsid w:val="00EC0DC7"/>
    <w:rsid w:val="00EC35BC"/>
    <w:rsid w:val="00EC5294"/>
    <w:rsid w:val="00ED31E2"/>
    <w:rsid w:val="00ED5511"/>
    <w:rsid w:val="00ED568F"/>
    <w:rsid w:val="00ED79C9"/>
    <w:rsid w:val="00ED7AAA"/>
    <w:rsid w:val="00EE1B40"/>
    <w:rsid w:val="00EE5172"/>
    <w:rsid w:val="00EE75F9"/>
    <w:rsid w:val="00EE7FB4"/>
    <w:rsid w:val="00EF33CF"/>
    <w:rsid w:val="00EF63D6"/>
    <w:rsid w:val="00F026AF"/>
    <w:rsid w:val="00F13C8F"/>
    <w:rsid w:val="00F13C90"/>
    <w:rsid w:val="00F14EF1"/>
    <w:rsid w:val="00F17F10"/>
    <w:rsid w:val="00F20F1F"/>
    <w:rsid w:val="00F3034A"/>
    <w:rsid w:val="00F308BD"/>
    <w:rsid w:val="00F32344"/>
    <w:rsid w:val="00F3411D"/>
    <w:rsid w:val="00F34588"/>
    <w:rsid w:val="00F359A0"/>
    <w:rsid w:val="00F37389"/>
    <w:rsid w:val="00F411BC"/>
    <w:rsid w:val="00F41BAF"/>
    <w:rsid w:val="00F42F89"/>
    <w:rsid w:val="00F45179"/>
    <w:rsid w:val="00F46AFD"/>
    <w:rsid w:val="00F474FF"/>
    <w:rsid w:val="00F51891"/>
    <w:rsid w:val="00F53A6D"/>
    <w:rsid w:val="00F56956"/>
    <w:rsid w:val="00F611D5"/>
    <w:rsid w:val="00F62C3F"/>
    <w:rsid w:val="00F6470C"/>
    <w:rsid w:val="00F65371"/>
    <w:rsid w:val="00F65553"/>
    <w:rsid w:val="00F670B9"/>
    <w:rsid w:val="00F67716"/>
    <w:rsid w:val="00F702A6"/>
    <w:rsid w:val="00F71101"/>
    <w:rsid w:val="00F71DAF"/>
    <w:rsid w:val="00F72453"/>
    <w:rsid w:val="00F7291D"/>
    <w:rsid w:val="00F745EC"/>
    <w:rsid w:val="00F80681"/>
    <w:rsid w:val="00F822E5"/>
    <w:rsid w:val="00F82B68"/>
    <w:rsid w:val="00F84C9F"/>
    <w:rsid w:val="00F87176"/>
    <w:rsid w:val="00F87CF4"/>
    <w:rsid w:val="00F91261"/>
    <w:rsid w:val="00F95933"/>
    <w:rsid w:val="00F966A0"/>
    <w:rsid w:val="00FA2D62"/>
    <w:rsid w:val="00FA3634"/>
    <w:rsid w:val="00FA3798"/>
    <w:rsid w:val="00FA786C"/>
    <w:rsid w:val="00FA7FED"/>
    <w:rsid w:val="00FB111B"/>
    <w:rsid w:val="00FB2747"/>
    <w:rsid w:val="00FB3240"/>
    <w:rsid w:val="00FB3BCF"/>
    <w:rsid w:val="00FB475F"/>
    <w:rsid w:val="00FB4A8C"/>
    <w:rsid w:val="00FB4AD5"/>
    <w:rsid w:val="00FC0931"/>
    <w:rsid w:val="00FC18BE"/>
    <w:rsid w:val="00FC1CE5"/>
    <w:rsid w:val="00FC2165"/>
    <w:rsid w:val="00FC4FB4"/>
    <w:rsid w:val="00FC61B0"/>
    <w:rsid w:val="00FD006E"/>
    <w:rsid w:val="00FD63D6"/>
    <w:rsid w:val="00FD7858"/>
    <w:rsid w:val="00FE03C8"/>
    <w:rsid w:val="00FE0571"/>
    <w:rsid w:val="00FE31CF"/>
    <w:rsid w:val="00FE52B9"/>
    <w:rsid w:val="00FF31CD"/>
    <w:rsid w:val="00FF5999"/>
    <w:rsid w:val="00FF5E75"/>
    <w:rsid w:val="00FF6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HAnsi" w:hAnsi="CG Times"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ndnote reference" w:uiPriority="99"/>
    <w:lsdException w:name="endnote text" w:uiPriority="99"/>
    <w:lsdException w:name="List Paragraph" w:uiPriority="34" w:qFormat="1"/>
  </w:latentStyles>
  <w:style w:type="paragraph" w:default="1" w:styleId="Normal">
    <w:name w:val="Normal"/>
    <w:qFormat/>
    <w:rsid w:val="00B32B8C"/>
    <w:rPr>
      <w:rFonts w:eastAsia="Times New Roman"/>
    </w:rPr>
  </w:style>
  <w:style w:type="paragraph" w:styleId="Heading1">
    <w:name w:val="heading 1"/>
    <w:basedOn w:val="Normal"/>
    <w:next w:val="Normal"/>
    <w:link w:val="Heading1Char"/>
    <w:uiPriority w:val="9"/>
    <w:qFormat/>
    <w:rsid w:val="003F15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6D"/>
    <w:pPr>
      <w:spacing w:before="240" w:after="60"/>
      <w:outlineLvl w:val="6"/>
    </w:pPr>
  </w:style>
  <w:style w:type="paragraph" w:styleId="Heading8">
    <w:name w:val="heading 8"/>
    <w:basedOn w:val="Normal"/>
    <w:next w:val="Normal"/>
    <w:link w:val="Heading8Char"/>
    <w:uiPriority w:val="9"/>
    <w:semiHidden/>
    <w:unhideWhenUsed/>
    <w:qFormat/>
    <w:rsid w:val="003F156D"/>
    <w:pPr>
      <w:spacing w:before="240" w:after="60"/>
      <w:outlineLvl w:val="7"/>
    </w:pPr>
    <w:rPr>
      <w:i/>
      <w:iCs/>
    </w:rPr>
  </w:style>
  <w:style w:type="paragraph" w:styleId="Heading9">
    <w:name w:val="heading 9"/>
    <w:basedOn w:val="Normal"/>
    <w:next w:val="Normal"/>
    <w:link w:val="Heading9Char"/>
    <w:uiPriority w:val="9"/>
    <w:semiHidden/>
    <w:unhideWhenUsed/>
    <w:qFormat/>
    <w:rsid w:val="003F15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6D"/>
    <w:rPr>
      <w:b/>
      <w:bCs/>
      <w:sz w:val="28"/>
      <w:szCs w:val="28"/>
    </w:rPr>
  </w:style>
  <w:style w:type="character" w:customStyle="1" w:styleId="Heading5Char">
    <w:name w:val="Heading 5 Char"/>
    <w:basedOn w:val="DefaultParagraphFont"/>
    <w:link w:val="Heading5"/>
    <w:uiPriority w:val="9"/>
    <w:semiHidden/>
    <w:rsid w:val="003F156D"/>
    <w:rPr>
      <w:b/>
      <w:bCs/>
      <w:i/>
      <w:iCs/>
      <w:sz w:val="26"/>
      <w:szCs w:val="26"/>
    </w:rPr>
  </w:style>
  <w:style w:type="character" w:customStyle="1" w:styleId="Heading6Char">
    <w:name w:val="Heading 6 Char"/>
    <w:basedOn w:val="DefaultParagraphFont"/>
    <w:link w:val="Heading6"/>
    <w:uiPriority w:val="9"/>
    <w:semiHidden/>
    <w:rsid w:val="003F156D"/>
    <w:rPr>
      <w:b/>
      <w:bCs/>
    </w:rPr>
  </w:style>
  <w:style w:type="character" w:customStyle="1" w:styleId="Heading7Char">
    <w:name w:val="Heading 7 Char"/>
    <w:basedOn w:val="DefaultParagraphFont"/>
    <w:link w:val="Heading7"/>
    <w:uiPriority w:val="9"/>
    <w:semiHidden/>
    <w:rsid w:val="003F156D"/>
    <w:rPr>
      <w:sz w:val="24"/>
      <w:szCs w:val="24"/>
    </w:rPr>
  </w:style>
  <w:style w:type="character" w:customStyle="1" w:styleId="Heading8Char">
    <w:name w:val="Heading 8 Char"/>
    <w:basedOn w:val="DefaultParagraphFont"/>
    <w:link w:val="Heading8"/>
    <w:uiPriority w:val="9"/>
    <w:semiHidden/>
    <w:rsid w:val="003F156D"/>
    <w:rPr>
      <w:i/>
      <w:iCs/>
      <w:sz w:val="24"/>
      <w:szCs w:val="24"/>
    </w:rPr>
  </w:style>
  <w:style w:type="character" w:customStyle="1" w:styleId="Heading9Char">
    <w:name w:val="Heading 9 Char"/>
    <w:basedOn w:val="DefaultParagraphFont"/>
    <w:link w:val="Heading9"/>
    <w:uiPriority w:val="9"/>
    <w:semiHidden/>
    <w:rsid w:val="003F156D"/>
    <w:rPr>
      <w:rFonts w:asciiTheme="majorHAnsi" w:eastAsiaTheme="majorEastAsia" w:hAnsiTheme="majorHAnsi"/>
    </w:rPr>
  </w:style>
  <w:style w:type="paragraph" w:styleId="Title">
    <w:name w:val="Title"/>
    <w:basedOn w:val="Normal"/>
    <w:next w:val="Normal"/>
    <w:link w:val="TitleChar"/>
    <w:uiPriority w:val="10"/>
    <w:qFormat/>
    <w:rsid w:val="003F15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6D"/>
    <w:rPr>
      <w:rFonts w:asciiTheme="majorHAnsi" w:eastAsiaTheme="majorEastAsia" w:hAnsiTheme="majorHAnsi"/>
      <w:sz w:val="24"/>
      <w:szCs w:val="24"/>
    </w:rPr>
  </w:style>
  <w:style w:type="character" w:styleId="Strong">
    <w:name w:val="Strong"/>
    <w:basedOn w:val="DefaultParagraphFont"/>
    <w:uiPriority w:val="22"/>
    <w:qFormat/>
    <w:rsid w:val="003F156D"/>
    <w:rPr>
      <w:b/>
      <w:bCs/>
    </w:rPr>
  </w:style>
  <w:style w:type="character" w:styleId="Emphasis">
    <w:name w:val="Emphasis"/>
    <w:basedOn w:val="DefaultParagraphFont"/>
    <w:uiPriority w:val="20"/>
    <w:qFormat/>
    <w:rsid w:val="003F156D"/>
    <w:rPr>
      <w:rFonts w:asciiTheme="minorHAnsi" w:hAnsiTheme="minorHAnsi"/>
      <w:b/>
      <w:i/>
      <w:iCs/>
    </w:rPr>
  </w:style>
  <w:style w:type="paragraph" w:styleId="NoSpacing">
    <w:name w:val="No Spacing"/>
    <w:basedOn w:val="Normal"/>
    <w:uiPriority w:val="1"/>
    <w:qFormat/>
    <w:rsid w:val="003F156D"/>
    <w:rPr>
      <w:szCs w:val="32"/>
    </w:rPr>
  </w:style>
  <w:style w:type="paragraph" w:styleId="ListParagraph">
    <w:name w:val="List Paragraph"/>
    <w:basedOn w:val="Normal"/>
    <w:uiPriority w:val="34"/>
    <w:qFormat/>
    <w:rsid w:val="003F156D"/>
    <w:pPr>
      <w:ind w:left="720"/>
      <w:contextualSpacing/>
    </w:pPr>
  </w:style>
  <w:style w:type="paragraph" w:styleId="Quote">
    <w:name w:val="Quote"/>
    <w:basedOn w:val="Normal"/>
    <w:next w:val="Normal"/>
    <w:link w:val="QuoteChar"/>
    <w:uiPriority w:val="29"/>
    <w:qFormat/>
    <w:rsid w:val="003F156D"/>
    <w:rPr>
      <w:i/>
    </w:rPr>
  </w:style>
  <w:style w:type="character" w:customStyle="1" w:styleId="QuoteChar">
    <w:name w:val="Quote Char"/>
    <w:basedOn w:val="DefaultParagraphFont"/>
    <w:link w:val="Quote"/>
    <w:uiPriority w:val="29"/>
    <w:rsid w:val="003F156D"/>
    <w:rPr>
      <w:i/>
      <w:sz w:val="24"/>
      <w:szCs w:val="24"/>
    </w:rPr>
  </w:style>
  <w:style w:type="paragraph" w:styleId="IntenseQuote">
    <w:name w:val="Intense Quote"/>
    <w:basedOn w:val="Normal"/>
    <w:next w:val="Normal"/>
    <w:link w:val="IntenseQuoteChar"/>
    <w:uiPriority w:val="30"/>
    <w:qFormat/>
    <w:rsid w:val="003F156D"/>
    <w:pPr>
      <w:ind w:left="720" w:right="720"/>
    </w:pPr>
    <w:rPr>
      <w:b/>
      <w:i/>
      <w:szCs w:val="22"/>
    </w:rPr>
  </w:style>
  <w:style w:type="character" w:customStyle="1" w:styleId="IntenseQuoteChar">
    <w:name w:val="Intense Quote Char"/>
    <w:basedOn w:val="DefaultParagraphFont"/>
    <w:link w:val="IntenseQuote"/>
    <w:uiPriority w:val="30"/>
    <w:rsid w:val="003F156D"/>
    <w:rPr>
      <w:b/>
      <w:i/>
      <w:sz w:val="24"/>
    </w:rPr>
  </w:style>
  <w:style w:type="character" w:styleId="SubtleEmphasis">
    <w:name w:val="Subtle Emphasis"/>
    <w:uiPriority w:val="19"/>
    <w:qFormat/>
    <w:rsid w:val="003F156D"/>
    <w:rPr>
      <w:i/>
      <w:color w:val="5A5A5A" w:themeColor="text1" w:themeTint="A5"/>
    </w:rPr>
  </w:style>
  <w:style w:type="character" w:styleId="IntenseEmphasis">
    <w:name w:val="Intense Emphasis"/>
    <w:basedOn w:val="DefaultParagraphFont"/>
    <w:uiPriority w:val="21"/>
    <w:qFormat/>
    <w:rsid w:val="003F156D"/>
    <w:rPr>
      <w:b/>
      <w:i/>
      <w:sz w:val="24"/>
      <w:szCs w:val="24"/>
      <w:u w:val="single"/>
    </w:rPr>
  </w:style>
  <w:style w:type="character" w:styleId="SubtleReference">
    <w:name w:val="Subtle Reference"/>
    <w:basedOn w:val="DefaultParagraphFont"/>
    <w:uiPriority w:val="31"/>
    <w:qFormat/>
    <w:rsid w:val="003F156D"/>
    <w:rPr>
      <w:sz w:val="24"/>
      <w:szCs w:val="24"/>
      <w:u w:val="single"/>
    </w:rPr>
  </w:style>
  <w:style w:type="character" w:styleId="IntenseReference">
    <w:name w:val="Intense Reference"/>
    <w:basedOn w:val="DefaultParagraphFont"/>
    <w:uiPriority w:val="32"/>
    <w:qFormat/>
    <w:rsid w:val="003F156D"/>
    <w:rPr>
      <w:b/>
      <w:sz w:val="24"/>
      <w:u w:val="single"/>
    </w:rPr>
  </w:style>
  <w:style w:type="character" w:styleId="BookTitle">
    <w:name w:val="Book Title"/>
    <w:basedOn w:val="DefaultParagraphFont"/>
    <w:uiPriority w:val="33"/>
    <w:qFormat/>
    <w:rsid w:val="003F15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6D"/>
    <w:pPr>
      <w:outlineLvl w:val="9"/>
    </w:pPr>
  </w:style>
  <w:style w:type="paragraph" w:customStyle="1" w:styleId="Default">
    <w:name w:val="Default"/>
    <w:rsid w:val="00794EA9"/>
    <w:pPr>
      <w:autoSpaceDE w:val="0"/>
      <w:autoSpaceDN w:val="0"/>
      <w:adjustRightInd w:val="0"/>
    </w:pPr>
    <w:rPr>
      <w:rFonts w:ascii="Arial" w:hAnsi="Arial" w:cs="Arial"/>
      <w:color w:val="000000"/>
    </w:rPr>
  </w:style>
  <w:style w:type="paragraph" w:styleId="EndnoteText">
    <w:name w:val="endnote text"/>
    <w:basedOn w:val="Normal"/>
    <w:link w:val="EndnoteTextChar"/>
    <w:uiPriority w:val="99"/>
    <w:semiHidden/>
    <w:unhideWhenUsed/>
    <w:rsid w:val="001501EF"/>
    <w:rPr>
      <w:sz w:val="20"/>
      <w:szCs w:val="20"/>
    </w:rPr>
  </w:style>
  <w:style w:type="character" w:customStyle="1" w:styleId="EndnoteTextChar">
    <w:name w:val="Endnote Text Char"/>
    <w:basedOn w:val="DefaultParagraphFont"/>
    <w:link w:val="EndnoteText"/>
    <w:uiPriority w:val="99"/>
    <w:semiHidden/>
    <w:rsid w:val="001501EF"/>
    <w:rPr>
      <w:sz w:val="20"/>
      <w:szCs w:val="20"/>
    </w:rPr>
  </w:style>
  <w:style w:type="character" w:styleId="EndnoteReference">
    <w:name w:val="endnote reference"/>
    <w:basedOn w:val="DefaultParagraphFont"/>
    <w:uiPriority w:val="99"/>
    <w:semiHidden/>
    <w:unhideWhenUsed/>
    <w:rsid w:val="001501EF"/>
    <w:rPr>
      <w:vertAlign w:val="superscript"/>
    </w:rPr>
  </w:style>
  <w:style w:type="character" w:styleId="Hyperlink">
    <w:name w:val="Hyperlink"/>
    <w:rsid w:val="00521199"/>
    <w:rPr>
      <w:color w:val="0000FF"/>
      <w:u w:val="single"/>
    </w:rPr>
  </w:style>
  <w:style w:type="character" w:customStyle="1" w:styleId="hlcolorprimary">
    <w:name w:val="hlcolorprimary"/>
    <w:basedOn w:val="DefaultParagraphFont"/>
    <w:rsid w:val="003B27B4"/>
  </w:style>
  <w:style w:type="paragraph" w:styleId="NormalWeb">
    <w:name w:val="Normal (Web)"/>
    <w:basedOn w:val="Normal"/>
    <w:uiPriority w:val="99"/>
    <w:unhideWhenUsed/>
    <w:rsid w:val="005C75BB"/>
    <w:rPr>
      <w:rFonts w:ascii="Times New Roman" w:hAnsi="Times New Roman"/>
    </w:rPr>
  </w:style>
  <w:style w:type="character" w:customStyle="1" w:styleId="smalltext">
    <w:name w:val="small_text"/>
    <w:basedOn w:val="DefaultParagraphFont"/>
    <w:rsid w:val="001F6306"/>
    <w:rPr>
      <w:vanish w:val="0"/>
      <w:webHidden w:val="0"/>
      <w:sz w:val="15"/>
      <w:szCs w:val="15"/>
      <w:specVanish w:val="0"/>
    </w:rPr>
  </w:style>
  <w:style w:type="character" w:customStyle="1" w:styleId="specialintrotext">
    <w:name w:val="specialintrotext"/>
    <w:basedOn w:val="DefaultParagraphFont"/>
    <w:rsid w:val="001F6306"/>
  </w:style>
  <w:style w:type="table" w:styleId="TableGrid">
    <w:name w:val="Table Grid"/>
    <w:basedOn w:val="TableNormal"/>
    <w:uiPriority w:val="59"/>
    <w:rsid w:val="00985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2A4"/>
    <w:pPr>
      <w:tabs>
        <w:tab w:val="center" w:pos="4680"/>
        <w:tab w:val="right" w:pos="9360"/>
      </w:tabs>
    </w:pPr>
  </w:style>
  <w:style w:type="character" w:customStyle="1" w:styleId="HeaderChar">
    <w:name w:val="Header Char"/>
    <w:basedOn w:val="DefaultParagraphFont"/>
    <w:link w:val="Header"/>
    <w:uiPriority w:val="99"/>
    <w:rsid w:val="003B12A4"/>
    <w:rPr>
      <w:rFonts w:eastAsia="Times New Roman"/>
    </w:rPr>
  </w:style>
  <w:style w:type="paragraph" w:styleId="Footer">
    <w:name w:val="footer"/>
    <w:basedOn w:val="Normal"/>
    <w:link w:val="FooterChar"/>
    <w:uiPriority w:val="99"/>
    <w:unhideWhenUsed/>
    <w:rsid w:val="003B12A4"/>
    <w:pPr>
      <w:tabs>
        <w:tab w:val="center" w:pos="4680"/>
        <w:tab w:val="right" w:pos="9360"/>
      </w:tabs>
    </w:pPr>
  </w:style>
  <w:style w:type="character" w:customStyle="1" w:styleId="FooterChar">
    <w:name w:val="Footer Char"/>
    <w:basedOn w:val="DefaultParagraphFont"/>
    <w:link w:val="Footer"/>
    <w:uiPriority w:val="99"/>
    <w:rsid w:val="003B12A4"/>
    <w:rPr>
      <w:rFonts w:eastAsia="Times New Roman"/>
    </w:rPr>
  </w:style>
  <w:style w:type="paragraph" w:styleId="FootnoteText">
    <w:name w:val="footnote text"/>
    <w:basedOn w:val="Normal"/>
    <w:link w:val="FootnoteTextChar"/>
    <w:uiPriority w:val="99"/>
    <w:unhideWhenUsed/>
    <w:rsid w:val="00AB07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B07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B074D"/>
    <w:rPr>
      <w:vertAlign w:val="superscript"/>
    </w:rPr>
  </w:style>
  <w:style w:type="table" w:customStyle="1" w:styleId="LightShading1">
    <w:name w:val="Light Shading1"/>
    <w:basedOn w:val="TableNormal"/>
    <w:uiPriority w:val="60"/>
    <w:rsid w:val="001C61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C2091"/>
    <w:rPr>
      <w:rFonts w:ascii="Tahoma" w:hAnsi="Tahoma" w:cs="Tahoma"/>
      <w:sz w:val="16"/>
      <w:szCs w:val="16"/>
    </w:rPr>
  </w:style>
  <w:style w:type="character" w:customStyle="1" w:styleId="BalloonTextChar">
    <w:name w:val="Balloon Text Char"/>
    <w:basedOn w:val="DefaultParagraphFont"/>
    <w:link w:val="BalloonText"/>
    <w:uiPriority w:val="99"/>
    <w:semiHidden/>
    <w:rsid w:val="00DC20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9D8"/>
    <w:rPr>
      <w:sz w:val="16"/>
      <w:szCs w:val="16"/>
    </w:rPr>
  </w:style>
  <w:style w:type="paragraph" w:styleId="CommentText">
    <w:name w:val="annotation text"/>
    <w:basedOn w:val="Normal"/>
    <w:link w:val="CommentTextChar"/>
    <w:uiPriority w:val="99"/>
    <w:semiHidden/>
    <w:unhideWhenUsed/>
    <w:rsid w:val="005839D8"/>
    <w:rPr>
      <w:sz w:val="20"/>
      <w:szCs w:val="20"/>
    </w:rPr>
  </w:style>
  <w:style w:type="character" w:customStyle="1" w:styleId="CommentTextChar">
    <w:name w:val="Comment Text Char"/>
    <w:basedOn w:val="DefaultParagraphFont"/>
    <w:link w:val="CommentText"/>
    <w:uiPriority w:val="99"/>
    <w:semiHidden/>
    <w:rsid w:val="005839D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839D8"/>
    <w:rPr>
      <w:b/>
      <w:bCs/>
    </w:rPr>
  </w:style>
  <w:style w:type="character" w:customStyle="1" w:styleId="CommentSubjectChar">
    <w:name w:val="Comment Subject Char"/>
    <w:basedOn w:val="CommentTextChar"/>
    <w:link w:val="CommentSubject"/>
    <w:uiPriority w:val="99"/>
    <w:semiHidden/>
    <w:rsid w:val="005839D8"/>
    <w:rPr>
      <w:rFonts w:eastAsia="Times New Roman"/>
      <w:b/>
      <w:bCs/>
      <w:sz w:val="20"/>
      <w:szCs w:val="20"/>
    </w:rPr>
  </w:style>
  <w:style w:type="paragraph" w:styleId="Revision">
    <w:name w:val="Revision"/>
    <w:hidden/>
    <w:uiPriority w:val="99"/>
    <w:semiHidden/>
    <w:rsid w:val="007B11AA"/>
    <w:rPr>
      <w:rFonts w:eastAsia="Times New Roman"/>
    </w:rPr>
  </w:style>
  <w:style w:type="character" w:styleId="FollowedHyperlink">
    <w:name w:val="FollowedHyperlink"/>
    <w:basedOn w:val="DefaultParagraphFont"/>
    <w:uiPriority w:val="99"/>
    <w:semiHidden/>
    <w:unhideWhenUsed/>
    <w:rsid w:val="00BE648B"/>
    <w:rPr>
      <w:color w:val="800080" w:themeColor="followedHyperlink"/>
      <w:u w:val="single"/>
    </w:rPr>
  </w:style>
  <w:style w:type="character" w:customStyle="1" w:styleId="apple-converted-space">
    <w:name w:val="apple-converted-space"/>
    <w:basedOn w:val="DefaultParagraphFont"/>
    <w:rsid w:val="00AE2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HAnsi" w:hAnsi="CG 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32B8C"/>
    <w:rPr>
      <w:rFonts w:eastAsia="Times New Roman"/>
    </w:rPr>
  </w:style>
  <w:style w:type="paragraph" w:styleId="Heading1">
    <w:name w:val="heading 1"/>
    <w:basedOn w:val="Normal"/>
    <w:next w:val="Normal"/>
    <w:link w:val="Heading1Char"/>
    <w:uiPriority w:val="9"/>
    <w:qFormat/>
    <w:rsid w:val="003F15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6D"/>
    <w:pPr>
      <w:spacing w:before="240" w:after="60"/>
      <w:outlineLvl w:val="6"/>
    </w:pPr>
  </w:style>
  <w:style w:type="paragraph" w:styleId="Heading8">
    <w:name w:val="heading 8"/>
    <w:basedOn w:val="Normal"/>
    <w:next w:val="Normal"/>
    <w:link w:val="Heading8Char"/>
    <w:uiPriority w:val="9"/>
    <w:semiHidden/>
    <w:unhideWhenUsed/>
    <w:qFormat/>
    <w:rsid w:val="003F156D"/>
    <w:pPr>
      <w:spacing w:before="240" w:after="60"/>
      <w:outlineLvl w:val="7"/>
    </w:pPr>
    <w:rPr>
      <w:i/>
      <w:iCs/>
    </w:rPr>
  </w:style>
  <w:style w:type="paragraph" w:styleId="Heading9">
    <w:name w:val="heading 9"/>
    <w:basedOn w:val="Normal"/>
    <w:next w:val="Normal"/>
    <w:link w:val="Heading9Char"/>
    <w:uiPriority w:val="9"/>
    <w:semiHidden/>
    <w:unhideWhenUsed/>
    <w:qFormat/>
    <w:rsid w:val="003F15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6D"/>
    <w:rPr>
      <w:b/>
      <w:bCs/>
      <w:sz w:val="28"/>
      <w:szCs w:val="28"/>
    </w:rPr>
  </w:style>
  <w:style w:type="character" w:customStyle="1" w:styleId="Heading5Char">
    <w:name w:val="Heading 5 Char"/>
    <w:basedOn w:val="DefaultParagraphFont"/>
    <w:link w:val="Heading5"/>
    <w:uiPriority w:val="9"/>
    <w:semiHidden/>
    <w:rsid w:val="003F156D"/>
    <w:rPr>
      <w:b/>
      <w:bCs/>
      <w:i/>
      <w:iCs/>
      <w:sz w:val="26"/>
      <w:szCs w:val="26"/>
    </w:rPr>
  </w:style>
  <w:style w:type="character" w:customStyle="1" w:styleId="Heading6Char">
    <w:name w:val="Heading 6 Char"/>
    <w:basedOn w:val="DefaultParagraphFont"/>
    <w:link w:val="Heading6"/>
    <w:uiPriority w:val="9"/>
    <w:semiHidden/>
    <w:rsid w:val="003F156D"/>
    <w:rPr>
      <w:b/>
      <w:bCs/>
    </w:rPr>
  </w:style>
  <w:style w:type="character" w:customStyle="1" w:styleId="Heading7Char">
    <w:name w:val="Heading 7 Char"/>
    <w:basedOn w:val="DefaultParagraphFont"/>
    <w:link w:val="Heading7"/>
    <w:uiPriority w:val="9"/>
    <w:semiHidden/>
    <w:rsid w:val="003F156D"/>
    <w:rPr>
      <w:sz w:val="24"/>
      <w:szCs w:val="24"/>
    </w:rPr>
  </w:style>
  <w:style w:type="character" w:customStyle="1" w:styleId="Heading8Char">
    <w:name w:val="Heading 8 Char"/>
    <w:basedOn w:val="DefaultParagraphFont"/>
    <w:link w:val="Heading8"/>
    <w:uiPriority w:val="9"/>
    <w:semiHidden/>
    <w:rsid w:val="003F156D"/>
    <w:rPr>
      <w:i/>
      <w:iCs/>
      <w:sz w:val="24"/>
      <w:szCs w:val="24"/>
    </w:rPr>
  </w:style>
  <w:style w:type="character" w:customStyle="1" w:styleId="Heading9Char">
    <w:name w:val="Heading 9 Char"/>
    <w:basedOn w:val="DefaultParagraphFont"/>
    <w:link w:val="Heading9"/>
    <w:uiPriority w:val="9"/>
    <w:semiHidden/>
    <w:rsid w:val="003F156D"/>
    <w:rPr>
      <w:rFonts w:asciiTheme="majorHAnsi" w:eastAsiaTheme="majorEastAsia" w:hAnsiTheme="majorHAnsi"/>
    </w:rPr>
  </w:style>
  <w:style w:type="paragraph" w:styleId="Title">
    <w:name w:val="Title"/>
    <w:basedOn w:val="Normal"/>
    <w:next w:val="Normal"/>
    <w:link w:val="TitleChar"/>
    <w:uiPriority w:val="10"/>
    <w:qFormat/>
    <w:rsid w:val="003F15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6D"/>
    <w:rPr>
      <w:rFonts w:asciiTheme="majorHAnsi" w:eastAsiaTheme="majorEastAsia" w:hAnsiTheme="majorHAnsi"/>
      <w:sz w:val="24"/>
      <w:szCs w:val="24"/>
    </w:rPr>
  </w:style>
  <w:style w:type="character" w:styleId="Strong">
    <w:name w:val="Strong"/>
    <w:basedOn w:val="DefaultParagraphFont"/>
    <w:uiPriority w:val="22"/>
    <w:qFormat/>
    <w:rsid w:val="003F156D"/>
    <w:rPr>
      <w:b/>
      <w:bCs/>
    </w:rPr>
  </w:style>
  <w:style w:type="character" w:styleId="Emphasis">
    <w:name w:val="Emphasis"/>
    <w:basedOn w:val="DefaultParagraphFont"/>
    <w:uiPriority w:val="20"/>
    <w:qFormat/>
    <w:rsid w:val="003F156D"/>
    <w:rPr>
      <w:rFonts w:asciiTheme="minorHAnsi" w:hAnsiTheme="minorHAnsi"/>
      <w:b/>
      <w:i/>
      <w:iCs/>
    </w:rPr>
  </w:style>
  <w:style w:type="paragraph" w:styleId="NoSpacing">
    <w:name w:val="No Spacing"/>
    <w:basedOn w:val="Normal"/>
    <w:uiPriority w:val="1"/>
    <w:qFormat/>
    <w:rsid w:val="003F156D"/>
    <w:rPr>
      <w:szCs w:val="32"/>
    </w:rPr>
  </w:style>
  <w:style w:type="paragraph" w:styleId="ListParagraph">
    <w:name w:val="List Paragraph"/>
    <w:basedOn w:val="Normal"/>
    <w:uiPriority w:val="34"/>
    <w:qFormat/>
    <w:rsid w:val="003F156D"/>
    <w:pPr>
      <w:ind w:left="720"/>
      <w:contextualSpacing/>
    </w:pPr>
  </w:style>
  <w:style w:type="paragraph" w:styleId="Quote">
    <w:name w:val="Quote"/>
    <w:basedOn w:val="Normal"/>
    <w:next w:val="Normal"/>
    <w:link w:val="QuoteChar"/>
    <w:uiPriority w:val="29"/>
    <w:qFormat/>
    <w:rsid w:val="003F156D"/>
    <w:rPr>
      <w:i/>
    </w:rPr>
  </w:style>
  <w:style w:type="character" w:customStyle="1" w:styleId="QuoteChar">
    <w:name w:val="Quote Char"/>
    <w:basedOn w:val="DefaultParagraphFont"/>
    <w:link w:val="Quote"/>
    <w:uiPriority w:val="29"/>
    <w:rsid w:val="003F156D"/>
    <w:rPr>
      <w:i/>
      <w:sz w:val="24"/>
      <w:szCs w:val="24"/>
    </w:rPr>
  </w:style>
  <w:style w:type="paragraph" w:styleId="IntenseQuote">
    <w:name w:val="Intense Quote"/>
    <w:basedOn w:val="Normal"/>
    <w:next w:val="Normal"/>
    <w:link w:val="IntenseQuoteChar"/>
    <w:uiPriority w:val="30"/>
    <w:qFormat/>
    <w:rsid w:val="003F156D"/>
    <w:pPr>
      <w:ind w:left="720" w:right="720"/>
    </w:pPr>
    <w:rPr>
      <w:b/>
      <w:i/>
      <w:szCs w:val="22"/>
    </w:rPr>
  </w:style>
  <w:style w:type="character" w:customStyle="1" w:styleId="IntenseQuoteChar">
    <w:name w:val="Intense Quote Char"/>
    <w:basedOn w:val="DefaultParagraphFont"/>
    <w:link w:val="IntenseQuote"/>
    <w:uiPriority w:val="30"/>
    <w:rsid w:val="003F156D"/>
    <w:rPr>
      <w:b/>
      <w:i/>
      <w:sz w:val="24"/>
    </w:rPr>
  </w:style>
  <w:style w:type="character" w:styleId="SubtleEmphasis">
    <w:name w:val="Subtle Emphasis"/>
    <w:uiPriority w:val="19"/>
    <w:qFormat/>
    <w:rsid w:val="003F156D"/>
    <w:rPr>
      <w:i/>
      <w:color w:val="5A5A5A" w:themeColor="text1" w:themeTint="A5"/>
    </w:rPr>
  </w:style>
  <w:style w:type="character" w:styleId="IntenseEmphasis">
    <w:name w:val="Intense Emphasis"/>
    <w:basedOn w:val="DefaultParagraphFont"/>
    <w:uiPriority w:val="21"/>
    <w:qFormat/>
    <w:rsid w:val="003F156D"/>
    <w:rPr>
      <w:b/>
      <w:i/>
      <w:sz w:val="24"/>
      <w:szCs w:val="24"/>
      <w:u w:val="single"/>
    </w:rPr>
  </w:style>
  <w:style w:type="character" w:styleId="SubtleReference">
    <w:name w:val="Subtle Reference"/>
    <w:basedOn w:val="DefaultParagraphFont"/>
    <w:uiPriority w:val="31"/>
    <w:qFormat/>
    <w:rsid w:val="003F156D"/>
    <w:rPr>
      <w:sz w:val="24"/>
      <w:szCs w:val="24"/>
      <w:u w:val="single"/>
    </w:rPr>
  </w:style>
  <w:style w:type="character" w:styleId="IntenseReference">
    <w:name w:val="Intense Reference"/>
    <w:basedOn w:val="DefaultParagraphFont"/>
    <w:uiPriority w:val="32"/>
    <w:qFormat/>
    <w:rsid w:val="003F156D"/>
    <w:rPr>
      <w:b/>
      <w:sz w:val="24"/>
      <w:u w:val="single"/>
    </w:rPr>
  </w:style>
  <w:style w:type="character" w:styleId="BookTitle">
    <w:name w:val="Book Title"/>
    <w:basedOn w:val="DefaultParagraphFont"/>
    <w:uiPriority w:val="33"/>
    <w:qFormat/>
    <w:rsid w:val="003F15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6D"/>
    <w:pPr>
      <w:outlineLvl w:val="9"/>
    </w:pPr>
  </w:style>
  <w:style w:type="paragraph" w:customStyle="1" w:styleId="Default">
    <w:name w:val="Default"/>
    <w:rsid w:val="00794EA9"/>
    <w:pPr>
      <w:autoSpaceDE w:val="0"/>
      <w:autoSpaceDN w:val="0"/>
      <w:adjustRightInd w:val="0"/>
    </w:pPr>
    <w:rPr>
      <w:rFonts w:ascii="Arial" w:hAnsi="Arial" w:cs="Arial"/>
      <w:color w:val="000000"/>
    </w:rPr>
  </w:style>
  <w:style w:type="paragraph" w:styleId="EndnoteText">
    <w:name w:val="endnote text"/>
    <w:basedOn w:val="Normal"/>
    <w:link w:val="EndnoteTextChar"/>
    <w:uiPriority w:val="99"/>
    <w:semiHidden/>
    <w:unhideWhenUsed/>
    <w:rsid w:val="001501EF"/>
    <w:rPr>
      <w:sz w:val="20"/>
      <w:szCs w:val="20"/>
    </w:rPr>
  </w:style>
  <w:style w:type="character" w:customStyle="1" w:styleId="EndnoteTextChar">
    <w:name w:val="Endnote Text Char"/>
    <w:basedOn w:val="DefaultParagraphFont"/>
    <w:link w:val="EndnoteText"/>
    <w:uiPriority w:val="99"/>
    <w:semiHidden/>
    <w:rsid w:val="001501EF"/>
    <w:rPr>
      <w:sz w:val="20"/>
      <w:szCs w:val="20"/>
    </w:rPr>
  </w:style>
  <w:style w:type="character" w:styleId="EndnoteReference">
    <w:name w:val="endnote reference"/>
    <w:basedOn w:val="DefaultParagraphFont"/>
    <w:uiPriority w:val="99"/>
    <w:semiHidden/>
    <w:unhideWhenUsed/>
    <w:rsid w:val="001501EF"/>
    <w:rPr>
      <w:vertAlign w:val="superscript"/>
    </w:rPr>
  </w:style>
  <w:style w:type="character" w:styleId="Hyperlink">
    <w:name w:val="Hyperlink"/>
    <w:rsid w:val="00521199"/>
    <w:rPr>
      <w:color w:val="0000FF"/>
      <w:u w:val="single"/>
    </w:rPr>
  </w:style>
  <w:style w:type="character" w:customStyle="1" w:styleId="hlcolorprimary">
    <w:name w:val="hlcolorprimary"/>
    <w:basedOn w:val="DefaultParagraphFont"/>
    <w:rsid w:val="003B27B4"/>
  </w:style>
  <w:style w:type="paragraph" w:styleId="NormalWeb">
    <w:name w:val="Normal (Web)"/>
    <w:basedOn w:val="Normal"/>
    <w:uiPriority w:val="99"/>
    <w:unhideWhenUsed/>
    <w:rsid w:val="005C75BB"/>
    <w:rPr>
      <w:rFonts w:ascii="Times New Roman" w:hAnsi="Times New Roman"/>
    </w:rPr>
  </w:style>
  <w:style w:type="character" w:customStyle="1" w:styleId="smalltext">
    <w:name w:val="small_text"/>
    <w:basedOn w:val="DefaultParagraphFont"/>
    <w:rsid w:val="001F6306"/>
    <w:rPr>
      <w:vanish w:val="0"/>
      <w:webHidden w:val="0"/>
      <w:sz w:val="15"/>
      <w:szCs w:val="15"/>
      <w:specVanish w:val="0"/>
    </w:rPr>
  </w:style>
  <w:style w:type="character" w:customStyle="1" w:styleId="specialintrotext">
    <w:name w:val="specialintrotext"/>
    <w:basedOn w:val="DefaultParagraphFont"/>
    <w:rsid w:val="001F6306"/>
  </w:style>
  <w:style w:type="table" w:styleId="TableGrid">
    <w:name w:val="Table Grid"/>
    <w:basedOn w:val="TableNormal"/>
    <w:uiPriority w:val="59"/>
    <w:rsid w:val="0098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2A4"/>
    <w:pPr>
      <w:tabs>
        <w:tab w:val="center" w:pos="4680"/>
        <w:tab w:val="right" w:pos="9360"/>
      </w:tabs>
    </w:pPr>
  </w:style>
  <w:style w:type="character" w:customStyle="1" w:styleId="HeaderChar">
    <w:name w:val="Header Char"/>
    <w:basedOn w:val="DefaultParagraphFont"/>
    <w:link w:val="Header"/>
    <w:uiPriority w:val="99"/>
    <w:rsid w:val="003B12A4"/>
    <w:rPr>
      <w:rFonts w:eastAsia="Times New Roman"/>
    </w:rPr>
  </w:style>
  <w:style w:type="paragraph" w:styleId="Footer">
    <w:name w:val="footer"/>
    <w:basedOn w:val="Normal"/>
    <w:link w:val="FooterChar"/>
    <w:uiPriority w:val="99"/>
    <w:unhideWhenUsed/>
    <w:rsid w:val="003B12A4"/>
    <w:pPr>
      <w:tabs>
        <w:tab w:val="center" w:pos="4680"/>
        <w:tab w:val="right" w:pos="9360"/>
      </w:tabs>
    </w:pPr>
  </w:style>
  <w:style w:type="character" w:customStyle="1" w:styleId="FooterChar">
    <w:name w:val="Footer Char"/>
    <w:basedOn w:val="DefaultParagraphFont"/>
    <w:link w:val="Footer"/>
    <w:uiPriority w:val="99"/>
    <w:rsid w:val="003B12A4"/>
    <w:rPr>
      <w:rFonts w:eastAsia="Times New Roman"/>
    </w:rPr>
  </w:style>
  <w:style w:type="paragraph" w:styleId="FootnoteText">
    <w:name w:val="footnote text"/>
    <w:basedOn w:val="Normal"/>
    <w:link w:val="FootnoteTextChar"/>
    <w:uiPriority w:val="99"/>
    <w:unhideWhenUsed/>
    <w:rsid w:val="00AB07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B07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B074D"/>
    <w:rPr>
      <w:vertAlign w:val="superscript"/>
    </w:rPr>
  </w:style>
  <w:style w:type="table" w:styleId="LightShading">
    <w:name w:val="Light Shading"/>
    <w:basedOn w:val="TableNormal"/>
    <w:uiPriority w:val="60"/>
    <w:rsid w:val="001C61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C2091"/>
    <w:rPr>
      <w:rFonts w:ascii="Tahoma" w:hAnsi="Tahoma" w:cs="Tahoma"/>
      <w:sz w:val="16"/>
      <w:szCs w:val="16"/>
    </w:rPr>
  </w:style>
  <w:style w:type="character" w:customStyle="1" w:styleId="BalloonTextChar">
    <w:name w:val="Balloon Text Char"/>
    <w:basedOn w:val="DefaultParagraphFont"/>
    <w:link w:val="BalloonText"/>
    <w:uiPriority w:val="99"/>
    <w:semiHidden/>
    <w:rsid w:val="00DC20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9D8"/>
    <w:rPr>
      <w:sz w:val="16"/>
      <w:szCs w:val="16"/>
    </w:rPr>
  </w:style>
  <w:style w:type="paragraph" w:styleId="CommentText">
    <w:name w:val="annotation text"/>
    <w:basedOn w:val="Normal"/>
    <w:link w:val="CommentTextChar"/>
    <w:uiPriority w:val="99"/>
    <w:semiHidden/>
    <w:unhideWhenUsed/>
    <w:rsid w:val="005839D8"/>
    <w:rPr>
      <w:sz w:val="20"/>
      <w:szCs w:val="20"/>
    </w:rPr>
  </w:style>
  <w:style w:type="character" w:customStyle="1" w:styleId="CommentTextChar">
    <w:name w:val="Comment Text Char"/>
    <w:basedOn w:val="DefaultParagraphFont"/>
    <w:link w:val="CommentText"/>
    <w:uiPriority w:val="99"/>
    <w:semiHidden/>
    <w:rsid w:val="005839D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839D8"/>
    <w:rPr>
      <w:b/>
      <w:bCs/>
    </w:rPr>
  </w:style>
  <w:style w:type="character" w:customStyle="1" w:styleId="CommentSubjectChar">
    <w:name w:val="Comment Subject Char"/>
    <w:basedOn w:val="CommentTextChar"/>
    <w:link w:val="CommentSubject"/>
    <w:uiPriority w:val="99"/>
    <w:semiHidden/>
    <w:rsid w:val="005839D8"/>
    <w:rPr>
      <w:rFonts w:eastAsia="Times New Roman"/>
      <w:b/>
      <w:bCs/>
      <w:sz w:val="20"/>
      <w:szCs w:val="20"/>
    </w:rPr>
  </w:style>
  <w:style w:type="paragraph" w:styleId="Revision">
    <w:name w:val="Revision"/>
    <w:hidden/>
    <w:uiPriority w:val="99"/>
    <w:semiHidden/>
    <w:rsid w:val="007B11AA"/>
    <w:rPr>
      <w:rFonts w:eastAsia="Times New Roman"/>
    </w:rPr>
  </w:style>
  <w:style w:type="character" w:styleId="FollowedHyperlink">
    <w:name w:val="FollowedHyperlink"/>
    <w:basedOn w:val="DefaultParagraphFont"/>
    <w:uiPriority w:val="99"/>
    <w:semiHidden/>
    <w:unhideWhenUsed/>
    <w:rsid w:val="00BE64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724238">
      <w:bodyDiv w:val="1"/>
      <w:marLeft w:val="0"/>
      <w:marRight w:val="0"/>
      <w:marTop w:val="0"/>
      <w:marBottom w:val="0"/>
      <w:divBdr>
        <w:top w:val="none" w:sz="0" w:space="0" w:color="auto"/>
        <w:left w:val="none" w:sz="0" w:space="0" w:color="auto"/>
        <w:bottom w:val="none" w:sz="0" w:space="0" w:color="auto"/>
        <w:right w:val="none" w:sz="0" w:space="0" w:color="auto"/>
      </w:divBdr>
      <w:divsChild>
        <w:div w:id="195974730">
          <w:marLeft w:val="0"/>
          <w:marRight w:val="0"/>
          <w:marTop w:val="0"/>
          <w:marBottom w:val="0"/>
          <w:divBdr>
            <w:top w:val="none" w:sz="0" w:space="0" w:color="auto"/>
            <w:left w:val="single" w:sz="6" w:space="0" w:color="D2D0D4"/>
            <w:bottom w:val="none" w:sz="0" w:space="0" w:color="auto"/>
            <w:right w:val="single" w:sz="6" w:space="0" w:color="D2D0D4"/>
          </w:divBdr>
          <w:divsChild>
            <w:div w:id="2042391556">
              <w:marLeft w:val="0"/>
              <w:marRight w:val="0"/>
              <w:marTop w:val="0"/>
              <w:marBottom w:val="0"/>
              <w:divBdr>
                <w:top w:val="none" w:sz="0" w:space="0" w:color="auto"/>
                <w:left w:val="none" w:sz="0" w:space="0" w:color="auto"/>
                <w:bottom w:val="none" w:sz="0" w:space="0" w:color="auto"/>
                <w:right w:val="none" w:sz="0" w:space="0" w:color="auto"/>
              </w:divBdr>
              <w:divsChild>
                <w:div w:id="821965620">
                  <w:marLeft w:val="0"/>
                  <w:marRight w:val="0"/>
                  <w:marTop w:val="0"/>
                  <w:marBottom w:val="0"/>
                  <w:divBdr>
                    <w:top w:val="none" w:sz="0" w:space="0" w:color="auto"/>
                    <w:left w:val="none" w:sz="0" w:space="0" w:color="auto"/>
                    <w:bottom w:val="none" w:sz="0" w:space="0" w:color="auto"/>
                    <w:right w:val="none" w:sz="0" w:space="0" w:color="auto"/>
                  </w:divBdr>
                  <w:divsChild>
                    <w:div w:id="16590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3038">
      <w:bodyDiv w:val="1"/>
      <w:marLeft w:val="0"/>
      <w:marRight w:val="0"/>
      <w:marTop w:val="0"/>
      <w:marBottom w:val="0"/>
      <w:divBdr>
        <w:top w:val="none" w:sz="0" w:space="0" w:color="auto"/>
        <w:left w:val="none" w:sz="0" w:space="0" w:color="auto"/>
        <w:bottom w:val="none" w:sz="0" w:space="0" w:color="auto"/>
        <w:right w:val="none" w:sz="0" w:space="0" w:color="auto"/>
      </w:divBdr>
    </w:div>
    <w:div w:id="329063737">
      <w:bodyDiv w:val="1"/>
      <w:marLeft w:val="0"/>
      <w:marRight w:val="0"/>
      <w:marTop w:val="0"/>
      <w:marBottom w:val="0"/>
      <w:divBdr>
        <w:top w:val="none" w:sz="0" w:space="0" w:color="auto"/>
        <w:left w:val="none" w:sz="0" w:space="0" w:color="auto"/>
        <w:bottom w:val="none" w:sz="0" w:space="0" w:color="auto"/>
        <w:right w:val="none" w:sz="0" w:space="0" w:color="auto"/>
      </w:divBdr>
      <w:divsChild>
        <w:div w:id="773398998">
          <w:marLeft w:val="0"/>
          <w:marRight w:val="0"/>
          <w:marTop w:val="0"/>
          <w:marBottom w:val="0"/>
          <w:divBdr>
            <w:top w:val="none" w:sz="0" w:space="0" w:color="auto"/>
            <w:left w:val="none" w:sz="0" w:space="0" w:color="auto"/>
            <w:bottom w:val="none" w:sz="0" w:space="0" w:color="auto"/>
            <w:right w:val="none" w:sz="0" w:space="0" w:color="auto"/>
          </w:divBdr>
          <w:divsChild>
            <w:div w:id="21389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2516">
      <w:bodyDiv w:val="1"/>
      <w:marLeft w:val="0"/>
      <w:marRight w:val="0"/>
      <w:marTop w:val="0"/>
      <w:marBottom w:val="0"/>
      <w:divBdr>
        <w:top w:val="none" w:sz="0" w:space="0" w:color="auto"/>
        <w:left w:val="none" w:sz="0" w:space="0" w:color="auto"/>
        <w:bottom w:val="none" w:sz="0" w:space="0" w:color="auto"/>
        <w:right w:val="none" w:sz="0" w:space="0" w:color="auto"/>
      </w:divBdr>
    </w:div>
    <w:div w:id="437678354">
      <w:bodyDiv w:val="1"/>
      <w:marLeft w:val="1080"/>
      <w:marRight w:val="1080"/>
      <w:marTop w:val="0"/>
      <w:marBottom w:val="0"/>
      <w:divBdr>
        <w:top w:val="none" w:sz="0" w:space="0" w:color="auto"/>
        <w:left w:val="none" w:sz="0" w:space="0" w:color="auto"/>
        <w:bottom w:val="none" w:sz="0" w:space="0" w:color="auto"/>
        <w:right w:val="none" w:sz="0" w:space="0" w:color="auto"/>
      </w:divBdr>
    </w:div>
    <w:div w:id="570429710">
      <w:bodyDiv w:val="1"/>
      <w:marLeft w:val="0"/>
      <w:marRight w:val="0"/>
      <w:marTop w:val="0"/>
      <w:marBottom w:val="0"/>
      <w:divBdr>
        <w:top w:val="none" w:sz="0" w:space="0" w:color="auto"/>
        <w:left w:val="none" w:sz="0" w:space="0" w:color="auto"/>
        <w:bottom w:val="none" w:sz="0" w:space="0" w:color="auto"/>
        <w:right w:val="none" w:sz="0" w:space="0" w:color="auto"/>
      </w:divBdr>
    </w:div>
    <w:div w:id="747046085">
      <w:bodyDiv w:val="1"/>
      <w:marLeft w:val="0"/>
      <w:marRight w:val="0"/>
      <w:marTop w:val="0"/>
      <w:marBottom w:val="0"/>
      <w:divBdr>
        <w:top w:val="none" w:sz="0" w:space="0" w:color="auto"/>
        <w:left w:val="none" w:sz="0" w:space="0" w:color="auto"/>
        <w:bottom w:val="none" w:sz="0" w:space="0" w:color="auto"/>
        <w:right w:val="none" w:sz="0" w:space="0" w:color="auto"/>
      </w:divBdr>
    </w:div>
    <w:div w:id="911737288">
      <w:bodyDiv w:val="1"/>
      <w:marLeft w:val="0"/>
      <w:marRight w:val="0"/>
      <w:marTop w:val="0"/>
      <w:marBottom w:val="0"/>
      <w:divBdr>
        <w:top w:val="none" w:sz="0" w:space="0" w:color="auto"/>
        <w:left w:val="none" w:sz="0" w:space="0" w:color="auto"/>
        <w:bottom w:val="none" w:sz="0" w:space="0" w:color="auto"/>
        <w:right w:val="none" w:sz="0" w:space="0" w:color="auto"/>
      </w:divBdr>
      <w:divsChild>
        <w:div w:id="2147116838">
          <w:marLeft w:val="0"/>
          <w:marRight w:val="0"/>
          <w:marTop w:val="0"/>
          <w:marBottom w:val="0"/>
          <w:divBdr>
            <w:top w:val="none" w:sz="0" w:space="0" w:color="auto"/>
            <w:left w:val="none" w:sz="0" w:space="0" w:color="auto"/>
            <w:bottom w:val="none" w:sz="0" w:space="0" w:color="auto"/>
            <w:right w:val="none" w:sz="0" w:space="0" w:color="auto"/>
          </w:divBdr>
          <w:divsChild>
            <w:div w:id="2745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7564">
      <w:bodyDiv w:val="1"/>
      <w:marLeft w:val="0"/>
      <w:marRight w:val="0"/>
      <w:marTop w:val="0"/>
      <w:marBottom w:val="0"/>
      <w:divBdr>
        <w:top w:val="none" w:sz="0" w:space="0" w:color="auto"/>
        <w:left w:val="none" w:sz="0" w:space="0" w:color="auto"/>
        <w:bottom w:val="none" w:sz="0" w:space="0" w:color="auto"/>
        <w:right w:val="none" w:sz="0" w:space="0" w:color="auto"/>
      </w:divBdr>
      <w:divsChild>
        <w:div w:id="1430932126">
          <w:marLeft w:val="0"/>
          <w:marRight w:val="0"/>
          <w:marTop w:val="0"/>
          <w:marBottom w:val="0"/>
          <w:divBdr>
            <w:top w:val="none" w:sz="0" w:space="0" w:color="auto"/>
            <w:left w:val="single" w:sz="6" w:space="0" w:color="D2D0D4"/>
            <w:bottom w:val="none" w:sz="0" w:space="0" w:color="auto"/>
            <w:right w:val="single" w:sz="6" w:space="0" w:color="D2D0D4"/>
          </w:divBdr>
          <w:divsChild>
            <w:div w:id="1136487681">
              <w:marLeft w:val="0"/>
              <w:marRight w:val="0"/>
              <w:marTop w:val="0"/>
              <w:marBottom w:val="0"/>
              <w:divBdr>
                <w:top w:val="none" w:sz="0" w:space="0" w:color="auto"/>
                <w:left w:val="none" w:sz="0" w:space="0" w:color="auto"/>
                <w:bottom w:val="none" w:sz="0" w:space="0" w:color="auto"/>
                <w:right w:val="none" w:sz="0" w:space="0" w:color="auto"/>
              </w:divBdr>
              <w:divsChild>
                <w:div w:id="1058284772">
                  <w:marLeft w:val="0"/>
                  <w:marRight w:val="0"/>
                  <w:marTop w:val="0"/>
                  <w:marBottom w:val="0"/>
                  <w:divBdr>
                    <w:top w:val="none" w:sz="0" w:space="0" w:color="auto"/>
                    <w:left w:val="none" w:sz="0" w:space="0" w:color="auto"/>
                    <w:bottom w:val="none" w:sz="0" w:space="0" w:color="auto"/>
                    <w:right w:val="none" w:sz="0" w:space="0" w:color="auto"/>
                  </w:divBdr>
                  <w:divsChild>
                    <w:div w:id="15946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7377">
      <w:bodyDiv w:val="1"/>
      <w:marLeft w:val="0"/>
      <w:marRight w:val="0"/>
      <w:marTop w:val="0"/>
      <w:marBottom w:val="0"/>
      <w:divBdr>
        <w:top w:val="none" w:sz="0" w:space="0" w:color="auto"/>
        <w:left w:val="none" w:sz="0" w:space="0" w:color="auto"/>
        <w:bottom w:val="none" w:sz="0" w:space="0" w:color="auto"/>
        <w:right w:val="none" w:sz="0" w:space="0" w:color="auto"/>
      </w:divBdr>
    </w:div>
    <w:div w:id="1934630390">
      <w:bodyDiv w:val="1"/>
      <w:marLeft w:val="0"/>
      <w:marRight w:val="0"/>
      <w:marTop w:val="0"/>
      <w:marBottom w:val="0"/>
      <w:divBdr>
        <w:top w:val="none" w:sz="0" w:space="0" w:color="auto"/>
        <w:left w:val="none" w:sz="0" w:space="0" w:color="auto"/>
        <w:bottom w:val="none" w:sz="0" w:space="0" w:color="auto"/>
        <w:right w:val="none" w:sz="0" w:space="0" w:color="auto"/>
      </w:divBdr>
      <w:divsChild>
        <w:div w:id="162673727">
          <w:marLeft w:val="0"/>
          <w:marRight w:val="0"/>
          <w:marTop w:val="0"/>
          <w:marBottom w:val="0"/>
          <w:divBdr>
            <w:top w:val="none" w:sz="0" w:space="0" w:color="auto"/>
            <w:left w:val="none" w:sz="0" w:space="0" w:color="auto"/>
            <w:bottom w:val="none" w:sz="0" w:space="0" w:color="auto"/>
            <w:right w:val="none" w:sz="0" w:space="0" w:color="auto"/>
          </w:divBdr>
          <w:divsChild>
            <w:div w:id="97721867">
              <w:marLeft w:val="0"/>
              <w:marRight w:val="0"/>
              <w:marTop w:val="0"/>
              <w:marBottom w:val="0"/>
              <w:divBdr>
                <w:top w:val="none" w:sz="0" w:space="0" w:color="auto"/>
                <w:left w:val="none" w:sz="0" w:space="0" w:color="auto"/>
                <w:bottom w:val="none" w:sz="0" w:space="0" w:color="auto"/>
                <w:right w:val="none" w:sz="0" w:space="0" w:color="auto"/>
              </w:divBdr>
              <w:divsChild>
                <w:div w:id="1898082669">
                  <w:marLeft w:val="0"/>
                  <w:marRight w:val="0"/>
                  <w:marTop w:val="0"/>
                  <w:marBottom w:val="0"/>
                  <w:divBdr>
                    <w:top w:val="none" w:sz="0" w:space="0" w:color="auto"/>
                    <w:left w:val="none" w:sz="0" w:space="0" w:color="auto"/>
                    <w:bottom w:val="none" w:sz="0" w:space="0" w:color="auto"/>
                    <w:right w:val="none" w:sz="0" w:space="0" w:color="auto"/>
                  </w:divBdr>
                  <w:divsChild>
                    <w:div w:id="914127573">
                      <w:marLeft w:val="0"/>
                      <w:marRight w:val="0"/>
                      <w:marTop w:val="255"/>
                      <w:marBottom w:val="150"/>
                      <w:divBdr>
                        <w:top w:val="none" w:sz="0" w:space="0" w:color="auto"/>
                        <w:left w:val="none" w:sz="0" w:space="0" w:color="auto"/>
                        <w:bottom w:val="none" w:sz="0" w:space="0" w:color="auto"/>
                        <w:right w:val="none" w:sz="0" w:space="0" w:color="auto"/>
                      </w:divBdr>
                      <w:divsChild>
                        <w:div w:id="1712728382">
                          <w:marLeft w:val="180"/>
                          <w:marRight w:val="180"/>
                          <w:marTop w:val="0"/>
                          <w:marBottom w:val="0"/>
                          <w:divBdr>
                            <w:top w:val="none" w:sz="0" w:space="0" w:color="auto"/>
                            <w:left w:val="none" w:sz="0" w:space="0" w:color="auto"/>
                            <w:bottom w:val="none" w:sz="0" w:space="0" w:color="auto"/>
                            <w:right w:val="none" w:sz="0" w:space="0" w:color="auto"/>
                          </w:divBdr>
                          <w:divsChild>
                            <w:div w:id="1811167569">
                              <w:marLeft w:val="0"/>
                              <w:marRight w:val="0"/>
                              <w:marTop w:val="0"/>
                              <w:marBottom w:val="0"/>
                              <w:divBdr>
                                <w:top w:val="none" w:sz="0" w:space="0" w:color="auto"/>
                                <w:left w:val="none" w:sz="0" w:space="0" w:color="auto"/>
                                <w:bottom w:val="none" w:sz="0" w:space="0" w:color="auto"/>
                                <w:right w:val="none" w:sz="0" w:space="0" w:color="auto"/>
                              </w:divBdr>
                              <w:divsChild>
                                <w:div w:id="1232080519">
                                  <w:marLeft w:val="-30"/>
                                  <w:marRight w:val="0"/>
                                  <w:marTop w:val="0"/>
                                  <w:marBottom w:val="0"/>
                                  <w:divBdr>
                                    <w:top w:val="none" w:sz="0" w:space="0" w:color="auto"/>
                                    <w:left w:val="none" w:sz="0" w:space="0" w:color="auto"/>
                                    <w:bottom w:val="none" w:sz="0" w:space="0" w:color="auto"/>
                                    <w:right w:val="none" w:sz="0" w:space="0" w:color="auto"/>
                                  </w:divBdr>
                                  <w:divsChild>
                                    <w:div w:id="2096783826">
                                      <w:marLeft w:val="0"/>
                                      <w:marRight w:val="0"/>
                                      <w:marTop w:val="0"/>
                                      <w:marBottom w:val="0"/>
                                      <w:divBdr>
                                        <w:top w:val="none" w:sz="0" w:space="0" w:color="auto"/>
                                        <w:left w:val="none" w:sz="0" w:space="0" w:color="auto"/>
                                        <w:bottom w:val="none" w:sz="0" w:space="0" w:color="auto"/>
                                        <w:right w:val="none" w:sz="0" w:space="0" w:color="auto"/>
                                      </w:divBdr>
                                      <w:divsChild>
                                        <w:div w:id="306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373929">
      <w:bodyDiv w:val="1"/>
      <w:marLeft w:val="0"/>
      <w:marRight w:val="0"/>
      <w:marTop w:val="0"/>
      <w:marBottom w:val="0"/>
      <w:divBdr>
        <w:top w:val="none" w:sz="0" w:space="0" w:color="auto"/>
        <w:left w:val="none" w:sz="0" w:space="0" w:color="auto"/>
        <w:bottom w:val="none" w:sz="0" w:space="0" w:color="auto"/>
        <w:right w:val="none" w:sz="0" w:space="0" w:color="auto"/>
      </w:divBdr>
    </w:div>
    <w:div w:id="2123837933">
      <w:bodyDiv w:val="1"/>
      <w:marLeft w:val="0"/>
      <w:marRight w:val="0"/>
      <w:marTop w:val="0"/>
      <w:marBottom w:val="0"/>
      <w:divBdr>
        <w:top w:val="none" w:sz="0" w:space="0" w:color="auto"/>
        <w:left w:val="none" w:sz="0" w:space="0" w:color="auto"/>
        <w:bottom w:val="none" w:sz="0" w:space="0" w:color="auto"/>
        <w:right w:val="none" w:sz="0" w:space="0" w:color="auto"/>
      </w:divBdr>
      <w:divsChild>
        <w:div w:id="1528711026">
          <w:marLeft w:val="0"/>
          <w:marRight w:val="0"/>
          <w:marTop w:val="0"/>
          <w:marBottom w:val="0"/>
          <w:divBdr>
            <w:top w:val="none" w:sz="0" w:space="0" w:color="auto"/>
            <w:left w:val="none" w:sz="0" w:space="0" w:color="auto"/>
            <w:bottom w:val="none" w:sz="0" w:space="0" w:color="auto"/>
            <w:right w:val="none" w:sz="0" w:space="0" w:color="auto"/>
          </w:divBdr>
          <w:divsChild>
            <w:div w:id="215360193">
              <w:marLeft w:val="0"/>
              <w:marRight w:val="0"/>
              <w:marTop w:val="0"/>
              <w:marBottom w:val="0"/>
              <w:divBdr>
                <w:top w:val="none" w:sz="0" w:space="0" w:color="auto"/>
                <w:left w:val="none" w:sz="0" w:space="0" w:color="auto"/>
                <w:bottom w:val="none" w:sz="0" w:space="0" w:color="auto"/>
                <w:right w:val="none" w:sz="0" w:space="0" w:color="auto"/>
              </w:divBdr>
              <w:divsChild>
                <w:div w:id="705639842">
                  <w:marLeft w:val="0"/>
                  <w:marRight w:val="0"/>
                  <w:marTop w:val="0"/>
                  <w:marBottom w:val="0"/>
                  <w:divBdr>
                    <w:top w:val="none" w:sz="0" w:space="0" w:color="auto"/>
                    <w:left w:val="none" w:sz="0" w:space="0" w:color="auto"/>
                    <w:bottom w:val="none" w:sz="0" w:space="0" w:color="auto"/>
                    <w:right w:val="none" w:sz="0" w:space="0" w:color="auto"/>
                  </w:divBdr>
                  <w:divsChild>
                    <w:div w:id="1675450195">
                      <w:marLeft w:val="0"/>
                      <w:marRight w:val="0"/>
                      <w:marTop w:val="0"/>
                      <w:marBottom w:val="0"/>
                      <w:divBdr>
                        <w:top w:val="none" w:sz="0" w:space="0" w:color="auto"/>
                        <w:left w:val="none" w:sz="0" w:space="0" w:color="auto"/>
                        <w:bottom w:val="none" w:sz="0" w:space="0" w:color="auto"/>
                        <w:right w:val="none" w:sz="0" w:space="0" w:color="auto"/>
                      </w:divBdr>
                      <w:divsChild>
                        <w:div w:id="971904434">
                          <w:marLeft w:val="0"/>
                          <w:marRight w:val="0"/>
                          <w:marTop w:val="0"/>
                          <w:marBottom w:val="0"/>
                          <w:divBdr>
                            <w:top w:val="none" w:sz="0" w:space="0" w:color="auto"/>
                            <w:left w:val="none" w:sz="0" w:space="0" w:color="auto"/>
                            <w:bottom w:val="none" w:sz="0" w:space="0" w:color="auto"/>
                            <w:right w:val="none" w:sz="0" w:space="0" w:color="auto"/>
                          </w:divBdr>
                          <w:divsChild>
                            <w:div w:id="1584603880">
                              <w:marLeft w:val="0"/>
                              <w:marRight w:val="0"/>
                              <w:marTop w:val="0"/>
                              <w:marBottom w:val="0"/>
                              <w:divBdr>
                                <w:top w:val="none" w:sz="0" w:space="0" w:color="auto"/>
                                <w:left w:val="none" w:sz="0" w:space="0" w:color="auto"/>
                                <w:bottom w:val="none" w:sz="0" w:space="0" w:color="auto"/>
                                <w:right w:val="none" w:sz="0" w:space="0" w:color="auto"/>
                              </w:divBdr>
                            </w:div>
                          </w:divsChild>
                        </w:div>
                        <w:div w:id="14752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evadaadrc.com/resources" TargetMode="External"/><Relationship Id="rId18" Type="http://schemas.openxmlformats.org/officeDocument/2006/relationships/hyperlink" Target="http://www.healthline.com/galecontent/american-medical-association" TargetMode="External"/><Relationship Id="rId26" Type="http://schemas.openxmlformats.org/officeDocument/2006/relationships/hyperlink" Target="javascript:__doPostBack('ctl00$ContentPlaceHolder1$dgrdDiseaseList','Sort$FY2011')" TargetMode="External"/><Relationship Id="rId3" Type="http://schemas.openxmlformats.org/officeDocument/2006/relationships/styles" Target="styles.xml"/><Relationship Id="rId21" Type="http://schemas.openxmlformats.org/officeDocument/2006/relationships/hyperlink" Target="javascript:__doPostBack('ctl00$ContentPlaceHolder1$dgrdDiseaseList','Sort$FY200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z.org/" TargetMode="External"/><Relationship Id="rId17" Type="http://schemas.openxmlformats.org/officeDocument/2006/relationships/hyperlink" Target="http://www.healthline.com/galecontent/american-medical-association" TargetMode="External"/><Relationship Id="rId25" Type="http://schemas.openxmlformats.org/officeDocument/2006/relationships/hyperlink" Target="javascript:__doPostBack('ctl00$ContentPlaceHolder1$dgrdDiseaseList','Sort$FY2010A')" TargetMode="External"/><Relationship Id="rId33" Type="http://schemas.openxmlformats.org/officeDocument/2006/relationships/hyperlink" Target="http://search.health.nv.gov/SOD" TargetMode="External"/><Relationship Id="rId2" Type="http://schemas.openxmlformats.org/officeDocument/2006/relationships/numbering" Target="numbering.xml"/><Relationship Id="rId16" Type="http://schemas.openxmlformats.org/officeDocument/2006/relationships/hyperlink" Target="http://alzheimers.gov/" TargetMode="External"/><Relationship Id="rId20" Type="http://schemas.openxmlformats.org/officeDocument/2006/relationships/hyperlink" Target="http://www.healthline.com/galecontent/disease-prevention" TargetMode="External"/><Relationship Id="rId29" Type="http://schemas.openxmlformats.org/officeDocument/2006/relationships/hyperlink" Target="http://report.nih.gov/categorical_spending_project_listing.aspx?FY=2009&amp;ARRA=Y&amp;DCat=Alzheimer's%20Dise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zheimers.gov/" TargetMode="External"/><Relationship Id="rId24" Type="http://schemas.openxmlformats.org/officeDocument/2006/relationships/hyperlink" Target="javascript:__doPostBack('ctl00$ContentPlaceHolder1$dgrdDiseaseList','Sort$FY2010NA')" TargetMode="External"/><Relationship Id="rId32" Type="http://schemas.openxmlformats.org/officeDocument/2006/relationships/hyperlink" Target="http://report.nih.gov/categorical_spending_project_listing.aspx?FY=2011&amp;ARRA=N&amp;DCat=Alzheimer's%20Diseas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lz.org/dsw/" TargetMode="External"/><Relationship Id="rId23" Type="http://schemas.openxmlformats.org/officeDocument/2006/relationships/hyperlink" Target="javascript:__doPostBack('ctl00$ContentPlaceHolder1$dgrdDiseaseList','Sort$FY2009A')" TargetMode="External"/><Relationship Id="rId28" Type="http://schemas.openxmlformats.org/officeDocument/2006/relationships/hyperlink" Target="http://report.nih.gov/categorical_spending_project_listing.aspx?FY=2009&amp;ARRA=N&amp;DCat=Alzheimer's%20Disease" TargetMode="External"/><Relationship Id="rId36" Type="http://schemas.openxmlformats.org/officeDocument/2006/relationships/theme" Target="theme/theme1.xml"/><Relationship Id="rId10" Type="http://schemas.openxmlformats.org/officeDocument/2006/relationships/hyperlink" Target="http://www.leg.state.nv.us/Interim/76th2011/Committee/StatCom/Alzheimers/Other/DesignationOfAlternates.pdf" TargetMode="External"/><Relationship Id="rId19" Type="http://schemas.openxmlformats.org/officeDocument/2006/relationships/hyperlink" Target="http://www.healthline.com/ahfscontent/oxymetazoline" TargetMode="External"/><Relationship Id="rId31" Type="http://schemas.openxmlformats.org/officeDocument/2006/relationships/hyperlink" Target="http://report.nih.gov/categorical_spending_project_listing.aspx?FY=2010&amp;ARRA=Y&amp;DCat=Alzheimer's%20Disease" TargetMode="External"/><Relationship Id="rId4" Type="http://schemas.openxmlformats.org/officeDocument/2006/relationships/settings" Target="settings.xml"/><Relationship Id="rId9" Type="http://schemas.openxmlformats.org/officeDocument/2006/relationships/hyperlink" Target="file:///I:\Interim%20(Studies)\2011-2012\Alzheimer's%20Task%20Force\State%20Plan\Body\State%20Plan%20(FINAL).docx" TargetMode="External"/><Relationship Id="rId14" Type="http://schemas.openxmlformats.org/officeDocument/2006/relationships/hyperlink" Target="http://www.alz.org/norcal/" TargetMode="External"/><Relationship Id="rId22" Type="http://schemas.openxmlformats.org/officeDocument/2006/relationships/hyperlink" Target="javascript:__doPostBack('ctl00$ContentPlaceHolder1$dgrdDiseaseList','Sort$FY2009NA')" TargetMode="External"/><Relationship Id="rId27" Type="http://schemas.openxmlformats.org/officeDocument/2006/relationships/hyperlink" Target="http://report.nih.gov/categorical_spending_project_listing.aspx?FY=2008&amp;ARRA=N&amp;DCat=Alzheimer's%20Disease" TargetMode="External"/><Relationship Id="rId30" Type="http://schemas.openxmlformats.org/officeDocument/2006/relationships/hyperlink" Target="http://report.nih.gov/categorical_spending_project_listing.aspx?FY=2010&amp;ARRA=N&amp;DCat=Alzheimer's%20Disease"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aregiving.org/data/Hispanic_Caregiver_Study_web_ENG_FINAL%20_11_04_08.pdf" TargetMode="External"/><Relationship Id="rId2" Type="http://schemas.openxmlformats.org/officeDocument/2006/relationships/hyperlink" Target="http://ihcrp.georgetown.edu/agingsociety/pdfs/hispanics.pdf" TargetMode="External"/><Relationship Id="rId1" Type="http://schemas.openxmlformats.org/officeDocument/2006/relationships/hyperlink" Target="http://www.metlife.com/assets/cao/contributions/foundation/alzheimer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F489-2D62-4F62-BA39-2519001B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12035</Words>
  <Characters>68605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Legislative Counsel Bureau</Company>
  <LinksUpToDate>false</LinksUpToDate>
  <CharactersWithSpaces>80480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Marsheilah Lyons</dc:creator>
  <cp:lastModifiedBy>swoodbury</cp:lastModifiedBy>
  <cp:revision>16</cp:revision>
  <cp:lastPrinted>2013-02-01T16:43:00Z</cp:lastPrinted>
  <dcterms:created xsi:type="dcterms:W3CDTF">2014-11-12T23:42:00Z</dcterms:created>
  <dcterms:modified xsi:type="dcterms:W3CDTF">2014-11-13T00:24:00Z</dcterms:modified>
</cp:coreProperties>
</file>